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1070"/>
        <w:gridCol w:w="11172"/>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07" w:type="dxa"/>
            <w:vMerge w:val="restart"/>
            <w:vAlign w:val="center"/>
          </w:tcPr>
          <w:p>
            <w:pPr>
              <w:spacing w:line="360" w:lineRule="auto"/>
              <w:rPr>
                <w:rFonts w:hint="eastAsia" w:ascii="宋体" w:hAnsi="宋体" w:cs="宋体"/>
                <w:sz w:val="24"/>
                <w:szCs w:val="24"/>
              </w:rPr>
            </w:pPr>
            <w:r>
              <w:rPr>
                <w:rFonts w:hint="eastAsia" w:ascii="宋体" w:hAnsi="宋体" w:cs="宋体"/>
                <w:sz w:val="24"/>
                <w:szCs w:val="24"/>
              </w:rPr>
              <w:t>过程与活动、</w:t>
            </w:r>
          </w:p>
          <w:p>
            <w:pPr>
              <w:spacing w:line="360" w:lineRule="auto"/>
              <w:rPr>
                <w:rFonts w:hint="eastAsia" w:ascii="宋体" w:hAnsi="宋体" w:cs="宋体"/>
                <w:sz w:val="24"/>
                <w:szCs w:val="24"/>
              </w:rPr>
            </w:pPr>
            <w:r>
              <w:rPr>
                <w:rFonts w:hint="eastAsia" w:ascii="宋体" w:hAnsi="宋体" w:cs="宋体"/>
                <w:sz w:val="24"/>
                <w:szCs w:val="24"/>
              </w:rPr>
              <w:t>抽样计划</w:t>
            </w:r>
          </w:p>
        </w:tc>
        <w:tc>
          <w:tcPr>
            <w:tcW w:w="1070" w:type="dxa"/>
            <w:vMerge w:val="restart"/>
            <w:vAlign w:val="center"/>
          </w:tcPr>
          <w:p>
            <w:pPr>
              <w:spacing w:line="360" w:lineRule="auto"/>
              <w:rPr>
                <w:rFonts w:hint="eastAsia" w:ascii="宋体" w:hAnsi="宋体" w:cs="宋体"/>
                <w:sz w:val="24"/>
                <w:szCs w:val="24"/>
              </w:rPr>
            </w:pPr>
            <w:r>
              <w:rPr>
                <w:rFonts w:hint="eastAsia" w:ascii="宋体" w:hAnsi="宋体" w:cs="宋体"/>
                <w:sz w:val="24"/>
                <w:szCs w:val="24"/>
              </w:rPr>
              <w:t>涉及</w:t>
            </w:r>
          </w:p>
          <w:p>
            <w:pPr>
              <w:spacing w:line="360" w:lineRule="auto"/>
              <w:rPr>
                <w:rFonts w:hint="eastAsia" w:ascii="宋体" w:hAnsi="宋体" w:cs="宋体"/>
                <w:sz w:val="24"/>
                <w:szCs w:val="24"/>
              </w:rPr>
            </w:pPr>
            <w:r>
              <w:rPr>
                <w:rFonts w:hint="eastAsia" w:ascii="宋体" w:hAnsi="宋体" w:cs="宋体"/>
                <w:sz w:val="24"/>
                <w:szCs w:val="24"/>
              </w:rPr>
              <w:t>条款</w:t>
            </w:r>
          </w:p>
        </w:tc>
        <w:tc>
          <w:tcPr>
            <w:tcW w:w="11172" w:type="dxa"/>
            <w:vAlign w:val="center"/>
          </w:tcPr>
          <w:p>
            <w:pPr>
              <w:spacing w:line="360" w:lineRule="auto"/>
              <w:rPr>
                <w:rFonts w:hint="eastAsia" w:ascii="宋体" w:hAnsi="宋体" w:cs="宋体"/>
                <w:sz w:val="24"/>
                <w:szCs w:val="24"/>
              </w:rPr>
            </w:pPr>
            <w:r>
              <w:rPr>
                <w:rFonts w:hint="eastAsia" w:ascii="宋体" w:hAnsi="宋体" w:cs="宋体"/>
                <w:sz w:val="24"/>
                <w:szCs w:val="24"/>
              </w:rPr>
              <w:t>受审核部门：</w:t>
            </w:r>
            <w:r>
              <w:rPr>
                <w:rFonts w:hint="eastAsia" w:ascii="宋体" w:hAnsi="宋体" w:cs="宋体"/>
                <w:sz w:val="24"/>
                <w:szCs w:val="24"/>
                <w:lang w:eastAsia="zh-CN"/>
              </w:rPr>
              <w:t>医疗研究部</w:t>
            </w:r>
            <w:r>
              <w:rPr>
                <w:rFonts w:hint="eastAsia" w:ascii="宋体" w:hAnsi="宋体" w:cs="宋体"/>
                <w:sz w:val="24"/>
                <w:szCs w:val="24"/>
                <w:lang w:val="en-US" w:eastAsia="zh-CN"/>
              </w:rPr>
              <w:t>（麻醉科）</w:t>
            </w:r>
            <w:r>
              <w:rPr>
                <w:rFonts w:hint="eastAsia" w:ascii="宋体" w:hAnsi="宋体" w:cs="宋体"/>
                <w:sz w:val="24"/>
                <w:szCs w:val="24"/>
                <w:lang w:eastAsia="zh-CN"/>
              </w:rPr>
              <w:t xml:space="preserve">   </w:t>
            </w:r>
            <w:r>
              <w:rPr>
                <w:rFonts w:hint="eastAsia" w:ascii="宋体" w:hAnsi="宋体" w:cs="宋体"/>
                <w:sz w:val="24"/>
                <w:szCs w:val="24"/>
              </w:rPr>
              <w:t>主管领导：</w:t>
            </w:r>
            <w:r>
              <w:rPr>
                <w:rFonts w:hint="eastAsia" w:ascii="宋体" w:hAnsi="宋体" w:cs="宋体"/>
                <w:sz w:val="24"/>
                <w:szCs w:val="24"/>
                <w:lang w:val="en-US" w:eastAsia="zh-CN"/>
              </w:rPr>
              <w:t>王志刚</w:t>
            </w: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陪同人员：</w:t>
            </w:r>
            <w:r>
              <w:rPr>
                <w:rFonts w:hint="eastAsia" w:ascii="宋体" w:hAnsi="宋体" w:cs="宋体"/>
                <w:sz w:val="24"/>
                <w:szCs w:val="24"/>
                <w:lang w:val="en-US" w:eastAsia="zh-CN"/>
              </w:rPr>
              <w:t>郑莹玉</w:t>
            </w:r>
          </w:p>
        </w:tc>
        <w:tc>
          <w:tcPr>
            <w:tcW w:w="760" w:type="dxa"/>
            <w:vMerge w:val="restart"/>
            <w:vAlign w:val="center"/>
          </w:tcPr>
          <w:p>
            <w:pPr>
              <w:spacing w:line="320" w:lineRule="exact"/>
              <w:rPr>
                <w:rFonts w:ascii="宋体" w:hAnsi="宋体" w:cs="宋体"/>
                <w:szCs w:val="21"/>
              </w:rPr>
            </w:pPr>
            <w:r>
              <w:rPr>
                <w:rFonts w:hint="eastAsia" w:ascii="宋体" w:hAnsi="宋体" w:cs="宋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07" w:type="dxa"/>
            <w:vMerge w:val="continue"/>
            <w:vAlign w:val="center"/>
          </w:tcPr>
          <w:p>
            <w:pPr>
              <w:spacing w:line="360" w:lineRule="auto"/>
              <w:rPr>
                <w:rFonts w:hint="eastAsia" w:ascii="宋体" w:hAnsi="宋体" w:cs="宋体"/>
                <w:sz w:val="24"/>
                <w:szCs w:val="24"/>
              </w:rPr>
            </w:pPr>
          </w:p>
        </w:tc>
        <w:tc>
          <w:tcPr>
            <w:tcW w:w="1070" w:type="dxa"/>
            <w:vMerge w:val="continue"/>
            <w:vAlign w:val="center"/>
          </w:tcPr>
          <w:p>
            <w:pPr>
              <w:spacing w:line="360" w:lineRule="auto"/>
              <w:rPr>
                <w:rFonts w:hint="eastAsia" w:ascii="宋体" w:hAnsi="宋体" w:cs="宋体"/>
                <w:sz w:val="24"/>
                <w:szCs w:val="24"/>
              </w:rPr>
            </w:pPr>
          </w:p>
        </w:tc>
        <w:tc>
          <w:tcPr>
            <w:tcW w:w="11172" w:type="dxa"/>
            <w:vAlign w:val="center"/>
          </w:tcPr>
          <w:p>
            <w:pPr>
              <w:spacing w:line="360" w:lineRule="auto"/>
              <w:rPr>
                <w:rFonts w:hint="default" w:ascii="宋体" w:hAnsi="宋体" w:cs="宋体"/>
                <w:sz w:val="24"/>
                <w:szCs w:val="24"/>
                <w:lang w:val="en-US" w:eastAsia="zh-CN"/>
              </w:rPr>
            </w:pPr>
            <w:r>
              <w:rPr>
                <w:rFonts w:hint="eastAsia" w:ascii="宋体" w:hAnsi="宋体" w:cs="宋体"/>
                <w:sz w:val="24"/>
                <w:szCs w:val="24"/>
              </w:rPr>
              <w:t>审核员：</w:t>
            </w:r>
            <w:r>
              <w:rPr>
                <w:rFonts w:hint="eastAsia" w:ascii="宋体" w:hAnsi="宋体" w:cs="宋体"/>
                <w:sz w:val="24"/>
                <w:szCs w:val="24"/>
                <w:lang w:val="en-US" w:eastAsia="zh-CN"/>
              </w:rPr>
              <w:t>李俐</w:t>
            </w:r>
            <w:r>
              <w:rPr>
                <w:rFonts w:hint="eastAsia" w:ascii="宋体" w:hAnsi="宋体" w:cs="宋体"/>
                <w:sz w:val="24"/>
                <w:szCs w:val="24"/>
              </w:rPr>
              <w:t xml:space="preserve"> </w:t>
            </w:r>
            <w:r>
              <w:rPr>
                <w:rFonts w:hint="eastAsia" w:ascii="宋体" w:hAnsi="宋体" w:cs="宋体"/>
                <w:sz w:val="24"/>
                <w:szCs w:val="24"/>
                <w:lang w:val="en-US" w:eastAsia="zh-CN"/>
              </w:rPr>
              <w:t xml:space="preserve">   杨白琳</w:t>
            </w:r>
            <w:r>
              <w:rPr>
                <w:rFonts w:hint="eastAsia" w:ascii="宋体" w:hAnsi="宋体" w:cs="宋体"/>
                <w:sz w:val="24"/>
                <w:szCs w:val="24"/>
              </w:rPr>
              <w:t xml:space="preserve">           审核时间：202</w:t>
            </w:r>
            <w:r>
              <w:rPr>
                <w:rFonts w:hint="eastAsia" w:ascii="宋体" w:hAnsi="宋体" w:cs="宋体"/>
                <w:sz w:val="24"/>
                <w:szCs w:val="24"/>
                <w:lang w:val="en-US" w:eastAsia="zh-CN"/>
              </w:rPr>
              <w:t>1.9.2</w:t>
            </w:r>
          </w:p>
        </w:tc>
        <w:tc>
          <w:tcPr>
            <w:tcW w:w="760" w:type="dxa"/>
            <w:vMerge w:val="continue"/>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07" w:type="dxa"/>
            <w:vMerge w:val="continue"/>
            <w:vAlign w:val="center"/>
          </w:tcPr>
          <w:p>
            <w:pPr>
              <w:spacing w:line="360" w:lineRule="auto"/>
              <w:rPr>
                <w:rFonts w:hint="eastAsia" w:ascii="宋体" w:hAnsi="宋体" w:cs="宋体"/>
                <w:sz w:val="24"/>
                <w:szCs w:val="24"/>
              </w:rPr>
            </w:pPr>
          </w:p>
        </w:tc>
        <w:tc>
          <w:tcPr>
            <w:tcW w:w="1070" w:type="dxa"/>
            <w:vMerge w:val="continue"/>
            <w:vAlign w:val="center"/>
          </w:tcPr>
          <w:p>
            <w:pPr>
              <w:spacing w:line="360" w:lineRule="auto"/>
              <w:rPr>
                <w:rFonts w:hint="eastAsia" w:ascii="宋体" w:hAnsi="宋体" w:cs="宋体"/>
                <w:sz w:val="24"/>
                <w:szCs w:val="24"/>
              </w:rPr>
            </w:pPr>
          </w:p>
        </w:tc>
        <w:tc>
          <w:tcPr>
            <w:tcW w:w="11172" w:type="dxa"/>
            <w:vAlign w:val="center"/>
          </w:tcPr>
          <w:p>
            <w:pPr>
              <w:spacing w:line="360" w:lineRule="auto"/>
              <w:rPr>
                <w:rFonts w:hint="eastAsia" w:ascii="宋体" w:hAnsi="宋体" w:cs="宋体"/>
                <w:sz w:val="24"/>
                <w:szCs w:val="24"/>
              </w:rPr>
            </w:pPr>
            <w:r>
              <w:rPr>
                <w:rFonts w:hint="eastAsia" w:ascii="宋体" w:hAnsi="宋体" w:cs="宋体"/>
                <w:sz w:val="24"/>
                <w:szCs w:val="24"/>
              </w:rPr>
              <w:t>涉及标准条款：</w:t>
            </w:r>
          </w:p>
          <w:p>
            <w:pPr>
              <w:spacing w:line="360" w:lineRule="auto"/>
              <w:rPr>
                <w:rFonts w:hint="default" w:ascii="宋体" w:hAnsi="宋体" w:cs="宋体"/>
                <w:sz w:val="24"/>
                <w:szCs w:val="24"/>
                <w:lang w:val="en-US" w:eastAsia="zh-CN"/>
              </w:rPr>
            </w:pPr>
            <w:r>
              <w:rPr>
                <w:rFonts w:hint="default" w:ascii="宋体" w:hAnsi="宋体" w:cs="宋体"/>
                <w:sz w:val="24"/>
                <w:szCs w:val="24"/>
                <w:lang w:eastAsia="zh-CN"/>
              </w:rPr>
              <w:t>QMS</w:t>
            </w:r>
            <w:r>
              <w:rPr>
                <w:rFonts w:hint="eastAsia" w:ascii="宋体" w:hAnsi="宋体" w:cs="宋体"/>
                <w:sz w:val="24"/>
                <w:szCs w:val="24"/>
                <w:lang w:eastAsia="zh-CN"/>
              </w:rPr>
              <w:t>：</w:t>
            </w:r>
            <w:r>
              <w:rPr>
                <w:rFonts w:hint="default" w:ascii="宋体" w:hAnsi="宋体" w:cs="宋体"/>
                <w:sz w:val="24"/>
                <w:szCs w:val="24"/>
                <w:lang w:val="en-US" w:eastAsia="zh-CN"/>
              </w:rPr>
              <w:t>5.3</w:t>
            </w:r>
            <w:r>
              <w:rPr>
                <w:rFonts w:hint="eastAsia" w:ascii="宋体" w:hAnsi="宋体" w:cs="宋体"/>
                <w:sz w:val="24"/>
                <w:szCs w:val="24"/>
                <w:lang w:val="en-US" w:eastAsia="zh-CN"/>
              </w:rPr>
              <w:t>、</w:t>
            </w:r>
            <w:r>
              <w:rPr>
                <w:rFonts w:hint="default" w:ascii="宋体" w:hAnsi="宋体" w:cs="宋体"/>
                <w:sz w:val="24"/>
                <w:szCs w:val="24"/>
                <w:lang w:val="en-US" w:eastAsia="zh-CN"/>
              </w:rPr>
              <w:t>6.2</w:t>
            </w:r>
            <w:r>
              <w:rPr>
                <w:rFonts w:hint="eastAsia" w:ascii="宋体" w:hAnsi="宋体" w:cs="宋体"/>
                <w:sz w:val="24"/>
                <w:szCs w:val="24"/>
                <w:lang w:val="en-US" w:eastAsia="zh-CN"/>
              </w:rPr>
              <w:t>、7.1.3、7.1.4、</w:t>
            </w:r>
            <w:r>
              <w:rPr>
                <w:rFonts w:hint="eastAsia" w:ascii="宋体" w:hAnsi="宋体" w:cs="宋体"/>
                <w:sz w:val="24"/>
                <w:szCs w:val="24"/>
              </w:rPr>
              <w:t>7.1.5</w:t>
            </w:r>
            <w:r>
              <w:rPr>
                <w:rFonts w:hint="eastAsia" w:ascii="宋体" w:hAnsi="宋体" w:cs="宋体"/>
                <w:sz w:val="24"/>
                <w:szCs w:val="24"/>
                <w:lang w:eastAsia="zh-CN"/>
              </w:rPr>
              <w:t>、</w:t>
            </w:r>
            <w:r>
              <w:rPr>
                <w:rFonts w:hint="default" w:ascii="宋体" w:hAnsi="宋体" w:cs="宋体"/>
                <w:sz w:val="24"/>
                <w:szCs w:val="24"/>
                <w:lang w:val="en-US" w:eastAsia="zh-CN"/>
              </w:rPr>
              <w:t>7.1.</w:t>
            </w:r>
            <w:r>
              <w:rPr>
                <w:rFonts w:hint="eastAsia" w:ascii="宋体" w:hAnsi="宋体" w:cs="宋体"/>
                <w:sz w:val="24"/>
                <w:szCs w:val="24"/>
                <w:lang w:val="en-US" w:eastAsia="zh-CN"/>
              </w:rPr>
              <w:t>6、7.2、</w:t>
            </w:r>
            <w:r>
              <w:rPr>
                <w:rFonts w:hint="default" w:ascii="宋体" w:hAnsi="宋体" w:cs="宋体"/>
                <w:sz w:val="24"/>
                <w:szCs w:val="24"/>
                <w:lang w:val="en-US" w:eastAsia="zh-CN"/>
              </w:rPr>
              <w:t>8.1</w:t>
            </w:r>
            <w:r>
              <w:rPr>
                <w:rFonts w:hint="eastAsia" w:ascii="宋体" w:hAnsi="宋体" w:cs="宋体"/>
                <w:sz w:val="24"/>
                <w:szCs w:val="24"/>
                <w:lang w:val="en-US" w:eastAsia="zh-CN"/>
              </w:rPr>
              <w:t>、8.3、8.5、8.6、8.7、9.1.1、10.2</w:t>
            </w:r>
          </w:p>
          <w:p>
            <w:pPr>
              <w:spacing w:line="360" w:lineRule="auto"/>
              <w:rPr>
                <w:rFonts w:hint="eastAsia" w:ascii="宋体" w:hAnsi="宋体" w:cs="宋体"/>
                <w:sz w:val="24"/>
                <w:szCs w:val="24"/>
              </w:rPr>
            </w:pPr>
            <w:r>
              <w:rPr>
                <w:rFonts w:hint="eastAsia" w:ascii="宋体" w:hAnsi="宋体" w:cs="宋体"/>
                <w:sz w:val="24"/>
                <w:szCs w:val="24"/>
                <w:lang w:eastAsia="zh-CN"/>
              </w:rPr>
              <w:t>EMS：</w:t>
            </w:r>
            <w:r>
              <w:rPr>
                <w:rFonts w:hint="default" w:ascii="宋体" w:hAnsi="宋体" w:cs="宋体"/>
                <w:sz w:val="24"/>
                <w:szCs w:val="24"/>
                <w:lang w:val="en-US" w:eastAsia="zh-CN"/>
              </w:rPr>
              <w:t>5.3</w:t>
            </w:r>
            <w:r>
              <w:rPr>
                <w:rFonts w:hint="eastAsia" w:ascii="宋体" w:hAnsi="宋体" w:cs="宋体"/>
                <w:sz w:val="24"/>
                <w:szCs w:val="24"/>
                <w:lang w:val="en-US" w:eastAsia="zh-CN"/>
              </w:rPr>
              <w:t>、</w:t>
            </w:r>
            <w:r>
              <w:rPr>
                <w:rFonts w:hint="default" w:ascii="宋体" w:hAnsi="宋体" w:cs="宋体"/>
                <w:sz w:val="24"/>
                <w:szCs w:val="24"/>
                <w:lang w:val="en-US" w:eastAsia="zh-CN"/>
              </w:rPr>
              <w:t>6.2</w:t>
            </w:r>
            <w:r>
              <w:rPr>
                <w:rFonts w:hint="eastAsia" w:ascii="宋体" w:hAnsi="宋体" w:cs="宋体"/>
                <w:sz w:val="24"/>
                <w:szCs w:val="24"/>
                <w:lang w:val="en-US" w:eastAsia="zh-CN"/>
              </w:rPr>
              <w:t>、</w:t>
            </w:r>
            <w:r>
              <w:rPr>
                <w:rFonts w:hint="default" w:ascii="宋体" w:hAnsi="宋体" w:cs="宋体"/>
                <w:sz w:val="24"/>
                <w:szCs w:val="24"/>
                <w:lang w:val="en-US" w:eastAsia="zh-CN"/>
              </w:rPr>
              <w:t>6.1.2</w:t>
            </w:r>
            <w:r>
              <w:rPr>
                <w:rFonts w:hint="eastAsia" w:ascii="宋体" w:hAnsi="宋体" w:cs="宋体"/>
                <w:sz w:val="24"/>
                <w:szCs w:val="24"/>
                <w:lang w:val="en-US" w:eastAsia="zh-CN"/>
              </w:rPr>
              <w:t>、</w:t>
            </w:r>
            <w:r>
              <w:rPr>
                <w:rFonts w:hint="default" w:ascii="宋体" w:hAnsi="宋体" w:cs="宋体"/>
                <w:sz w:val="24"/>
                <w:szCs w:val="24"/>
                <w:lang w:val="en-US" w:eastAsia="zh-CN"/>
              </w:rPr>
              <w:t>8.1</w:t>
            </w:r>
            <w:r>
              <w:rPr>
                <w:rFonts w:hint="eastAsia" w:ascii="宋体" w:hAnsi="宋体" w:cs="宋体"/>
                <w:sz w:val="24"/>
                <w:szCs w:val="24"/>
                <w:lang w:val="en-US" w:eastAsia="zh-CN"/>
              </w:rPr>
              <w:t>、</w:t>
            </w:r>
            <w:r>
              <w:rPr>
                <w:rFonts w:hint="default" w:ascii="宋体" w:hAnsi="宋体" w:cs="宋体"/>
                <w:sz w:val="24"/>
                <w:szCs w:val="24"/>
                <w:lang w:val="en-US" w:eastAsia="zh-CN"/>
              </w:rPr>
              <w:t>8.2</w:t>
            </w:r>
            <w:r>
              <w:rPr>
                <w:rFonts w:hint="eastAsia" w:ascii="宋体" w:hAnsi="宋体" w:cs="宋体"/>
                <w:sz w:val="24"/>
                <w:szCs w:val="24"/>
                <w:lang w:val="en-US" w:eastAsia="zh-CN"/>
              </w:rPr>
              <w:t>、10.2</w:t>
            </w:r>
          </w:p>
        </w:tc>
        <w:tc>
          <w:tcPr>
            <w:tcW w:w="760" w:type="dxa"/>
            <w:vMerge w:val="continue"/>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707" w:type="dxa"/>
          </w:tcPr>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right="0" w:firstLine="210" w:firstLineChars="100"/>
              <w:jc w:val="left"/>
              <w:rPr>
                <w:rFonts w:hint="eastAsia"/>
                <w:lang w:val="en-US" w:eastAsia="zh-CN"/>
              </w:rPr>
            </w:pPr>
          </w:p>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right="0" w:firstLine="210" w:firstLineChars="100"/>
              <w:jc w:val="left"/>
              <w:rPr>
                <w:rFonts w:hint="eastAsia"/>
                <w:lang w:val="en-US" w:eastAsia="zh-CN"/>
              </w:rPr>
            </w:pPr>
          </w:p>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right="0"/>
              <w:jc w:val="left"/>
              <w:rPr>
                <w:rFonts w:hint="eastAsia"/>
                <w:lang w:val="en-US" w:eastAsia="zh-CN"/>
              </w:rPr>
            </w:pPr>
            <w:r>
              <w:rPr>
                <w:rFonts w:hint="eastAsia"/>
                <w:lang w:val="en-US" w:eastAsia="zh-CN"/>
              </w:rPr>
              <w:t>岗位职责和权限</w:t>
            </w:r>
          </w:p>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right="0" w:firstLine="210" w:firstLineChars="100"/>
              <w:jc w:val="left"/>
              <w:rPr>
                <w:rFonts w:hint="eastAsia"/>
                <w:lang w:val="en-US" w:eastAsia="zh-CN"/>
              </w:rPr>
            </w:pPr>
          </w:p>
        </w:tc>
        <w:tc>
          <w:tcPr>
            <w:tcW w:w="1070" w:type="dxa"/>
          </w:tcPr>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right="0" w:firstLine="210" w:firstLineChars="100"/>
              <w:jc w:val="left"/>
              <w:rPr>
                <w:rFonts w:hint="eastAsia"/>
                <w:lang w:val="en-US" w:eastAsia="zh-CN"/>
              </w:rPr>
            </w:pPr>
          </w:p>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right="0" w:firstLine="210" w:firstLineChars="100"/>
              <w:jc w:val="left"/>
              <w:rPr>
                <w:rFonts w:hint="eastAsia"/>
                <w:lang w:val="en-US" w:eastAsia="zh-CN"/>
              </w:rPr>
            </w:pPr>
          </w:p>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0"/>
              <w:jc w:val="left"/>
              <w:rPr>
                <w:rFonts w:hint="eastAsia"/>
                <w:lang w:val="en-US" w:eastAsia="zh-CN"/>
              </w:rPr>
            </w:pPr>
            <w:r>
              <w:rPr>
                <w:rFonts w:hint="eastAsia"/>
                <w:lang w:val="en-US" w:eastAsia="zh-CN"/>
              </w:rPr>
              <w:t>QE 5.3</w:t>
            </w:r>
          </w:p>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right="0" w:firstLine="210" w:firstLineChars="100"/>
              <w:jc w:val="left"/>
              <w:rPr>
                <w:rFonts w:hint="eastAsia"/>
                <w:lang w:val="en-US" w:eastAsia="zh-CN"/>
              </w:rPr>
            </w:pPr>
          </w:p>
        </w:tc>
        <w:tc>
          <w:tcPr>
            <w:tcW w:w="11172" w:type="dxa"/>
            <w:vAlign w:val="center"/>
          </w:tcPr>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0"/>
              <w:jc w:val="left"/>
              <w:rPr>
                <w:rFonts w:hint="eastAsia" w:ascii="Times New Roman" w:hAnsi="Times New Roman" w:cs="Times New Roman"/>
                <w:lang w:val="en-US" w:eastAsia="zh-CN"/>
              </w:rPr>
            </w:pPr>
            <w:r>
              <w:rPr>
                <w:rFonts w:hint="eastAsia" w:ascii="Times New Roman" w:hAnsi="Times New Roman" w:cs="Times New Roman"/>
                <w:lang w:val="en-US" w:eastAsia="zh-CN"/>
              </w:rPr>
              <w:t>医疗</w:t>
            </w:r>
            <w:r>
              <w:rPr>
                <w:rFonts w:hint="eastAsia" w:cs="Times New Roman"/>
                <w:lang w:val="en-US" w:eastAsia="zh-CN"/>
              </w:rPr>
              <w:t>研究</w:t>
            </w:r>
            <w:r>
              <w:rPr>
                <w:rFonts w:hint="eastAsia" w:ascii="Times New Roman" w:hAnsi="Times New Roman" w:cs="Times New Roman"/>
                <w:lang w:val="en-US" w:eastAsia="zh-CN"/>
              </w:rPr>
              <w:t>部（</w:t>
            </w:r>
            <w:r>
              <w:rPr>
                <w:rFonts w:hint="eastAsia" w:cs="Times New Roman"/>
                <w:lang w:val="en-US" w:eastAsia="zh-CN"/>
              </w:rPr>
              <w:t>麻醉科</w:t>
            </w:r>
            <w:r>
              <w:rPr>
                <w:rFonts w:hint="eastAsia" w:ascii="Times New Roman" w:hAnsi="Times New Roman" w:cs="Times New Roman"/>
                <w:lang w:val="en-US" w:eastAsia="zh-CN"/>
              </w:rPr>
              <w:t>） 负责人：</w:t>
            </w:r>
            <w:r>
              <w:rPr>
                <w:rFonts w:hint="eastAsia" w:cs="Times New Roman"/>
                <w:lang w:val="en-US" w:eastAsia="zh-CN"/>
              </w:rPr>
              <w:t>王志刚</w:t>
            </w:r>
            <w:r>
              <w:rPr>
                <w:rFonts w:hint="eastAsia" w:ascii="Times New Roman" w:hAnsi="Times New Roman" w:cs="Times New Roman"/>
                <w:lang w:val="en-US" w:eastAsia="zh-CN"/>
              </w:rPr>
              <w:t xml:space="preserve">  </w:t>
            </w:r>
          </w:p>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0"/>
              <w:jc w:val="left"/>
              <w:rPr>
                <w:rFonts w:hint="eastAsia" w:eastAsia="宋体" w:cs="Times New Roman"/>
                <w:lang w:val="en-US" w:eastAsia="zh-CN"/>
              </w:rPr>
            </w:pPr>
            <w:r>
              <w:rPr>
                <w:rFonts w:hint="eastAsia" w:cs="Times New Roman"/>
                <w:lang w:val="en-US" w:eastAsia="zh-CN"/>
              </w:rPr>
              <w:t>麻</w:t>
            </w:r>
            <w:r>
              <w:rPr>
                <w:rFonts w:hint="eastAsia" w:eastAsia="宋体" w:cs="Times New Roman"/>
                <w:lang w:val="en-US" w:eastAsia="zh-CN"/>
              </w:rPr>
              <w:t>醉科：护士6人：护师2人，护士 4 人。</w:t>
            </w:r>
          </w:p>
          <w:p>
            <w:pPr>
              <w:numPr>
                <w:ilvl w:val="0"/>
                <w:numId w:val="0"/>
              </w:numPr>
              <w:rPr>
                <w:rFonts w:hint="eastAsia" w:cs="Times New Roman"/>
                <w:lang w:val="en-US" w:eastAsia="zh-CN"/>
              </w:rPr>
            </w:pPr>
            <w:r>
              <w:rPr>
                <w:rFonts w:hint="eastAsia" w:ascii="Times New Roman" w:hAnsi="Times New Roman" w:cs="Times New Roman"/>
                <w:lang w:val="en-US" w:eastAsia="zh-CN"/>
              </w:rPr>
              <w:t>负责人</w:t>
            </w:r>
            <w:r>
              <w:rPr>
                <w:rFonts w:hint="eastAsia" w:cs="Times New Roman"/>
                <w:lang w:val="en-US" w:eastAsia="zh-CN"/>
              </w:rPr>
              <w:t>王志刚介绍 麻醉科主要</w:t>
            </w:r>
            <w:r>
              <w:rPr>
                <w:rFonts w:hint="eastAsia" w:eastAsia="宋体" w:cs="Times New Roman"/>
                <w:lang w:val="en-US" w:eastAsia="zh-CN"/>
              </w:rPr>
              <w:t>职责有：急救复苏、临床麻醉、疼痛治疗</w:t>
            </w:r>
            <w:r>
              <w:rPr>
                <w:rFonts w:hint="eastAsia" w:cs="Times New Roman"/>
                <w:lang w:val="en-US" w:eastAsia="zh-CN"/>
              </w:rPr>
              <w:t>。</w:t>
            </w:r>
          </w:p>
          <w:p>
            <w:pPr>
              <w:spacing w:line="360" w:lineRule="auto"/>
              <w:rPr>
                <w:rFonts w:hint="eastAsia" w:eastAsia="宋体"/>
                <w:lang w:val="en-US" w:eastAsia="zh-CN"/>
              </w:rPr>
            </w:pPr>
            <w:r>
              <w:rPr>
                <w:rFonts w:hint="eastAsia"/>
              </w:rPr>
              <w:t>与部门负责人沟通，了解本部门的职责权限</w:t>
            </w:r>
            <w:r>
              <w:rPr>
                <w:rFonts w:hint="eastAsia"/>
                <w:lang w:eastAsia="zh-CN"/>
              </w:rPr>
              <w:t>。</w:t>
            </w:r>
          </w:p>
        </w:tc>
        <w:tc>
          <w:tcPr>
            <w:tcW w:w="760" w:type="dxa"/>
          </w:tcPr>
          <w:p>
            <w:pPr>
              <w:spacing w:line="320" w:lineRule="exact"/>
              <w:rPr>
                <w:rFonts w:ascii="宋体" w:hAnsi="宋体" w:cs="宋体"/>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trPr>
        <w:tc>
          <w:tcPr>
            <w:tcW w:w="1707" w:type="dxa"/>
          </w:tcPr>
          <w:p>
            <w:pPr>
              <w:spacing w:line="380" w:lineRule="exact"/>
              <w:rPr>
                <w:rFonts w:ascii="宋体" w:hAnsi="宋体" w:cs="宋体"/>
                <w:szCs w:val="21"/>
              </w:rPr>
            </w:pPr>
            <w:r>
              <w:rPr>
                <w:rFonts w:hint="eastAsia" w:ascii="宋体" w:hAnsi="宋体" w:cs="宋体"/>
                <w:color w:val="000000"/>
                <w:kern w:val="0"/>
                <w:szCs w:val="21"/>
              </w:rPr>
              <w:t>目标及其实现的策划总要求</w:t>
            </w:r>
          </w:p>
        </w:tc>
        <w:tc>
          <w:tcPr>
            <w:tcW w:w="1070" w:type="dxa"/>
          </w:tcPr>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right="0"/>
              <w:jc w:val="left"/>
              <w:rPr>
                <w:rFonts w:hint="eastAsia"/>
                <w:lang w:val="en-US" w:eastAsia="zh-CN"/>
              </w:rPr>
            </w:pPr>
          </w:p>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right="0"/>
              <w:jc w:val="left"/>
              <w:rPr>
                <w:rFonts w:hint="eastAsia"/>
                <w:lang w:val="en-US" w:eastAsia="zh-CN"/>
              </w:rPr>
            </w:pPr>
            <w:r>
              <w:rPr>
                <w:rFonts w:hint="eastAsia"/>
                <w:lang w:val="en-US" w:eastAsia="zh-CN"/>
              </w:rPr>
              <w:t>QE 6.2</w:t>
            </w:r>
          </w:p>
          <w:p>
            <w:pPr>
              <w:spacing w:line="380" w:lineRule="exact"/>
              <w:rPr>
                <w:rFonts w:ascii="宋体" w:hAnsi="宋体" w:cs="宋体"/>
                <w:color w:val="000000"/>
                <w:kern w:val="0"/>
                <w:szCs w:val="21"/>
              </w:rPr>
            </w:pPr>
          </w:p>
          <w:p>
            <w:pPr>
              <w:spacing w:line="380" w:lineRule="exact"/>
              <w:rPr>
                <w:rFonts w:ascii="宋体" w:hAnsi="宋体" w:cs="宋体"/>
                <w:szCs w:val="21"/>
              </w:rPr>
            </w:pPr>
          </w:p>
        </w:tc>
        <w:tc>
          <w:tcPr>
            <w:tcW w:w="11172" w:type="dxa"/>
            <w:vAlign w:val="center"/>
          </w:tcPr>
          <w:p>
            <w:pPr>
              <w:spacing w:line="360" w:lineRule="auto"/>
              <w:rPr>
                <w:rFonts w:hint="eastAsia" w:ascii="Times New Roman" w:hAnsi="Times New Roman" w:cs="Times New Roman"/>
              </w:rPr>
            </w:pPr>
            <w:r>
              <w:rPr>
                <w:rFonts w:hint="eastAsia" w:ascii="Times New Roman" w:hAnsi="Times New Roman" w:cs="Times New Roman"/>
              </w:rPr>
              <w:t>本部门的目标有:</w:t>
            </w:r>
          </w:p>
          <w:p>
            <w:pPr>
              <w:spacing w:line="360" w:lineRule="auto"/>
              <w:rPr>
                <w:rFonts w:hint="eastAsia" w:ascii="Times New Roman" w:hAnsi="Times New Roman" w:cs="Times New Roman"/>
                <w:lang w:val="en-US" w:eastAsia="zh-CN"/>
              </w:rPr>
            </w:pPr>
            <w:r>
              <w:rPr>
                <w:rFonts w:hint="eastAsia" w:ascii="Times New Roman" w:hAnsi="Times New Roman" w:cs="Times New Roman"/>
                <w:lang w:val="en-US" w:eastAsia="zh-CN"/>
              </w:rPr>
              <w:t>麻醉死亡率</w:t>
            </w:r>
            <w:r>
              <w:rPr>
                <w:rFonts w:hint="eastAsia" w:ascii="Times New Roman" w:hAnsi="Times New Roman" w:cs="Times New Roman"/>
                <w:lang w:val="en-US" w:eastAsia="zh-CN"/>
              </w:rPr>
              <w:tab/>
            </w:r>
            <w:r>
              <w:rPr>
                <w:rFonts w:hint="eastAsia" w:ascii="Times New Roman" w:hAnsi="Times New Roman" w:cs="Times New Roman"/>
                <w:lang w:val="en-US" w:eastAsia="zh-CN"/>
              </w:rPr>
              <w:t>≤0.01%</w:t>
            </w:r>
          </w:p>
          <w:p>
            <w:pPr>
              <w:spacing w:line="360" w:lineRule="auto"/>
              <w:rPr>
                <w:rFonts w:hint="eastAsia" w:ascii="Times New Roman" w:hAnsi="Times New Roman" w:cs="Times New Roman"/>
                <w:lang w:val="en-US" w:eastAsia="zh-CN"/>
              </w:rPr>
            </w:pPr>
            <w:r>
              <w:rPr>
                <w:rFonts w:hint="eastAsia" w:ascii="Times New Roman" w:hAnsi="Times New Roman" w:cs="Times New Roman"/>
                <w:lang w:val="en-US" w:eastAsia="zh-CN"/>
              </w:rPr>
              <w:t>固体废弃物有效处理率100%</w:t>
            </w:r>
            <w:r>
              <w:rPr>
                <w:rFonts w:hint="eastAsia" w:ascii="Times New Roman" w:hAnsi="Times New Roman" w:cs="Times New Roman"/>
                <w:lang w:val="en-US" w:eastAsia="zh-CN"/>
              </w:rPr>
              <w:tab/>
            </w:r>
            <w:r>
              <w:rPr>
                <w:rFonts w:hint="eastAsia" w:ascii="Times New Roman" w:hAnsi="Times New Roman" w:cs="Times New Roman"/>
                <w:lang w:val="en-US" w:eastAsia="zh-CN"/>
              </w:rPr>
              <w:t>100%</w:t>
            </w:r>
          </w:p>
          <w:p>
            <w:pPr>
              <w:spacing w:line="360" w:lineRule="auto"/>
              <w:rPr>
                <w:rFonts w:hint="eastAsia" w:ascii="Times New Roman" w:hAnsi="Times New Roman" w:cs="Times New Roman"/>
                <w:lang w:val="en-US" w:eastAsia="zh-CN"/>
              </w:rPr>
            </w:pPr>
            <w:r>
              <w:rPr>
                <w:rFonts w:hint="eastAsia" w:ascii="Times New Roman" w:hAnsi="Times New Roman" w:cs="Times New Roman"/>
                <w:lang w:val="en-US" w:eastAsia="zh-CN"/>
              </w:rPr>
              <w:t>医疗废弃物有效处理率</w:t>
            </w:r>
            <w:r>
              <w:rPr>
                <w:rFonts w:hint="eastAsia" w:ascii="Times New Roman" w:hAnsi="Times New Roman" w:cs="Times New Roman"/>
                <w:lang w:val="en-US" w:eastAsia="zh-CN"/>
              </w:rPr>
              <w:tab/>
            </w:r>
            <w:r>
              <w:rPr>
                <w:rFonts w:hint="eastAsia" w:ascii="Times New Roman" w:hAnsi="Times New Roman" w:cs="Times New Roman"/>
                <w:lang w:val="en-US" w:eastAsia="zh-CN"/>
              </w:rPr>
              <w:t>100%</w:t>
            </w:r>
          </w:p>
          <w:p>
            <w:pPr>
              <w:spacing w:line="360" w:lineRule="auto"/>
              <w:rPr>
                <w:rFonts w:hint="eastAsia" w:ascii="Times New Roman" w:hAnsi="Times New Roman" w:cs="Times New Roman"/>
                <w:lang w:val="en-US" w:eastAsia="zh-CN"/>
              </w:rPr>
            </w:pPr>
            <w:r>
              <w:rPr>
                <w:rFonts w:hint="eastAsia" w:ascii="Times New Roman" w:hAnsi="Times New Roman" w:cs="Times New Roman"/>
                <w:lang w:val="en-US" w:eastAsia="zh-CN"/>
              </w:rPr>
              <w:t>文件受控率</w:t>
            </w:r>
            <w:r>
              <w:rPr>
                <w:rFonts w:hint="eastAsia" w:ascii="Times New Roman" w:hAnsi="Times New Roman" w:cs="Times New Roman"/>
                <w:lang w:val="en-US" w:eastAsia="zh-CN"/>
              </w:rPr>
              <w:tab/>
            </w:r>
            <w:r>
              <w:rPr>
                <w:rFonts w:hint="eastAsia" w:ascii="Times New Roman" w:hAnsi="Times New Roman" w:cs="Times New Roman"/>
                <w:lang w:val="en-US" w:eastAsia="zh-CN"/>
              </w:rPr>
              <w:t>100%</w:t>
            </w:r>
          </w:p>
          <w:p>
            <w:pPr>
              <w:spacing w:line="360" w:lineRule="auto"/>
              <w:rPr>
                <w:rFonts w:hint="eastAsia" w:ascii="Times New Roman" w:hAnsi="Times New Roman" w:cs="Times New Roman"/>
                <w:lang w:val="en-US" w:eastAsia="zh-CN"/>
              </w:rPr>
            </w:pPr>
            <w:r>
              <w:rPr>
                <w:rFonts w:hint="eastAsia" w:ascii="Times New Roman" w:hAnsi="Times New Roman" w:cs="Times New Roman"/>
                <w:lang w:val="en-US" w:eastAsia="zh-CN"/>
              </w:rPr>
              <w:t>火灾事故发生率</w:t>
            </w:r>
            <w:r>
              <w:rPr>
                <w:rFonts w:hint="eastAsia" w:ascii="Times New Roman" w:hAnsi="Times New Roman" w:cs="Times New Roman"/>
                <w:lang w:val="en-US" w:eastAsia="zh-CN"/>
              </w:rPr>
              <w:tab/>
            </w:r>
            <w:r>
              <w:rPr>
                <w:rFonts w:hint="eastAsia" w:ascii="Times New Roman" w:hAnsi="Times New Roman" w:cs="Times New Roman"/>
                <w:lang w:val="en-US" w:eastAsia="zh-CN"/>
              </w:rPr>
              <w:t>0次/年</w:t>
            </w:r>
          </w:p>
          <w:p>
            <w:pPr>
              <w:spacing w:line="360" w:lineRule="auto"/>
              <w:rPr>
                <w:rFonts w:hint="eastAsia" w:ascii="Times New Roman" w:hAnsi="Times New Roman" w:cs="Times New Roman"/>
                <w:lang w:val="en-US" w:eastAsia="zh-CN"/>
              </w:rPr>
            </w:pPr>
            <w:r>
              <w:rPr>
                <w:rFonts w:hint="eastAsia" w:ascii="Times New Roman" w:hAnsi="Times New Roman" w:cs="Times New Roman"/>
                <w:lang w:val="en-US" w:eastAsia="zh-CN"/>
              </w:rPr>
              <w:t>病人要求评审率</w:t>
            </w:r>
            <w:r>
              <w:rPr>
                <w:rFonts w:hint="eastAsia" w:ascii="Times New Roman" w:hAnsi="Times New Roman" w:cs="Times New Roman"/>
                <w:lang w:val="en-US" w:eastAsia="zh-CN"/>
              </w:rPr>
              <w:tab/>
            </w:r>
            <w:r>
              <w:rPr>
                <w:rFonts w:hint="eastAsia" w:ascii="Times New Roman" w:hAnsi="Times New Roman" w:cs="Times New Roman"/>
                <w:lang w:val="en-US" w:eastAsia="zh-CN"/>
              </w:rPr>
              <w:t>100%</w:t>
            </w:r>
          </w:p>
          <w:p>
            <w:pPr>
              <w:spacing w:line="360" w:lineRule="auto"/>
              <w:rPr>
                <w:rFonts w:hint="eastAsia" w:ascii="Times New Roman" w:hAnsi="Times New Roman" w:cs="Times New Roman"/>
                <w:lang w:val="en-US" w:eastAsia="zh-CN"/>
              </w:rPr>
            </w:pPr>
            <w:r>
              <w:rPr>
                <w:rFonts w:hint="eastAsia" w:ascii="Times New Roman" w:hAnsi="Times New Roman" w:cs="Times New Roman"/>
                <w:lang w:val="en-US" w:eastAsia="zh-CN"/>
              </w:rPr>
              <w:t>入院诊断准确率</w:t>
            </w:r>
            <w:r>
              <w:rPr>
                <w:rFonts w:hint="eastAsia" w:ascii="Times New Roman" w:hAnsi="Times New Roman" w:cs="Times New Roman"/>
                <w:lang w:val="en-US" w:eastAsia="zh-CN"/>
              </w:rPr>
              <w:tab/>
            </w:r>
            <w:r>
              <w:rPr>
                <w:rFonts w:hint="eastAsia" w:ascii="Times New Roman" w:hAnsi="Times New Roman" w:cs="Times New Roman"/>
                <w:lang w:val="en-US" w:eastAsia="zh-CN"/>
              </w:rPr>
              <w:t>100%</w:t>
            </w:r>
          </w:p>
          <w:p>
            <w:pPr>
              <w:spacing w:line="360" w:lineRule="auto"/>
              <w:rPr>
                <w:rFonts w:hint="eastAsia" w:ascii="Times New Roman" w:hAnsi="Times New Roman" w:cs="Times New Roman"/>
                <w:lang w:val="en-US" w:eastAsia="zh-CN"/>
              </w:rPr>
            </w:pPr>
            <w:r>
              <w:rPr>
                <w:rFonts w:hint="eastAsia" w:ascii="Times New Roman" w:hAnsi="Times New Roman" w:cs="Times New Roman"/>
                <w:lang w:val="en-US" w:eastAsia="zh-CN"/>
              </w:rPr>
              <w:t>临床主要诊断、病理诊断符合率</w:t>
            </w:r>
            <w:r>
              <w:rPr>
                <w:rFonts w:hint="eastAsia" w:ascii="Times New Roman" w:hAnsi="Times New Roman" w:cs="Times New Roman"/>
                <w:lang w:val="en-US" w:eastAsia="zh-CN"/>
              </w:rPr>
              <w:tab/>
            </w:r>
            <w:r>
              <w:rPr>
                <w:rFonts w:hint="eastAsia" w:ascii="Times New Roman" w:hAnsi="Times New Roman" w:cs="Times New Roman"/>
                <w:lang w:val="en-US" w:eastAsia="zh-CN"/>
              </w:rPr>
              <w:t>≥90％</w:t>
            </w:r>
          </w:p>
          <w:p>
            <w:pPr>
              <w:spacing w:line="360" w:lineRule="auto"/>
              <w:rPr>
                <w:rFonts w:hint="eastAsia" w:ascii="Times New Roman" w:hAnsi="Times New Roman" w:cs="Times New Roman"/>
                <w:lang w:val="en-US" w:eastAsia="zh-CN"/>
              </w:rPr>
            </w:pPr>
            <w:r>
              <w:rPr>
                <w:rFonts w:hint="eastAsia" w:ascii="Times New Roman" w:hAnsi="Times New Roman" w:cs="Times New Roman"/>
                <w:lang w:val="en-US" w:eastAsia="zh-CN"/>
              </w:rPr>
              <w:t>处方合格率</w:t>
            </w:r>
            <w:r>
              <w:rPr>
                <w:rFonts w:hint="eastAsia" w:ascii="Times New Roman" w:hAnsi="Times New Roman" w:cs="Times New Roman"/>
                <w:lang w:val="en-US" w:eastAsia="zh-CN"/>
              </w:rPr>
              <w:tab/>
            </w:r>
            <w:r>
              <w:rPr>
                <w:rFonts w:hint="eastAsia" w:ascii="Times New Roman" w:hAnsi="Times New Roman" w:cs="Times New Roman"/>
                <w:lang w:val="en-US" w:eastAsia="zh-CN"/>
              </w:rPr>
              <w:t>≥95％</w:t>
            </w:r>
          </w:p>
          <w:p>
            <w:pPr>
              <w:spacing w:line="360" w:lineRule="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部门分解目标与公司方针一致，可测量</w:t>
            </w:r>
            <w:r>
              <w:rPr>
                <w:rFonts w:hint="eastAsia" w:ascii="宋体" w:hAnsi="宋体" w:cs="宋体"/>
                <w:color w:val="000000"/>
                <w:sz w:val="21"/>
                <w:szCs w:val="21"/>
                <w:lang w:eastAsia="zh-CN"/>
              </w:rPr>
              <w:t>。</w:t>
            </w:r>
          </w:p>
          <w:p>
            <w:pPr>
              <w:spacing w:line="360" w:lineRule="auto"/>
              <w:rPr>
                <w:rFonts w:ascii="宋体" w:hAnsi="宋体" w:cs="宋体"/>
                <w:szCs w:val="21"/>
              </w:rPr>
            </w:pPr>
            <w:r>
              <w:rPr>
                <w:rFonts w:hint="eastAsia" w:ascii="宋体" w:hAnsi="宋体" w:eastAsia="宋体" w:cs="宋体"/>
                <w:color w:val="000000"/>
                <w:sz w:val="21"/>
                <w:szCs w:val="21"/>
              </w:rPr>
              <w:t>提供</w:t>
            </w:r>
            <w:r>
              <w:rPr>
                <w:rFonts w:hint="eastAsia" w:ascii="宋体" w:hAnsi="宋体" w:cs="宋体"/>
                <w:szCs w:val="21"/>
                <w:lang w:eastAsia="zh-CN"/>
              </w:rPr>
              <w:t>《</w:t>
            </w:r>
            <w:r>
              <w:rPr>
                <w:rFonts w:hint="eastAsia" w:ascii="宋体" w:hAnsi="宋体" w:cs="宋体"/>
                <w:szCs w:val="21"/>
              </w:rPr>
              <w:t>质量目标达成状况一览表</w:t>
            </w:r>
            <w:r>
              <w:rPr>
                <w:rFonts w:hint="eastAsia" w:ascii="宋体" w:hAnsi="宋体" w:cs="宋体"/>
                <w:szCs w:val="21"/>
                <w:lang w:eastAsia="zh-CN"/>
              </w:rPr>
              <w:t>》</w:t>
            </w:r>
            <w:r>
              <w:rPr>
                <w:rFonts w:hint="eastAsia" w:ascii="宋体" w:hAnsi="宋体" w:eastAsia="宋体" w:cs="宋体"/>
                <w:color w:val="000000"/>
                <w:sz w:val="21"/>
                <w:szCs w:val="21"/>
              </w:rPr>
              <w:t>，考核日期</w:t>
            </w:r>
            <w:r>
              <w:rPr>
                <w:rFonts w:hint="eastAsia" w:ascii="宋体" w:hAnsi="宋体" w:eastAsia="宋体" w:cs="宋体"/>
                <w:color w:val="000000"/>
                <w:sz w:val="21"/>
                <w:szCs w:val="21"/>
                <w:lang w:val="en-US" w:eastAsia="zh-CN"/>
              </w:rPr>
              <w:t>:</w:t>
            </w:r>
            <w:r>
              <w:rPr>
                <w:rFonts w:hint="eastAsia" w:ascii="宋体" w:hAnsi="宋体" w:eastAsia="宋体" w:cs="宋体"/>
                <w:sz w:val="21"/>
                <w:szCs w:val="21"/>
              </w:rPr>
              <w:t>20</w:t>
            </w:r>
            <w:r>
              <w:rPr>
                <w:rFonts w:hint="eastAsia" w:ascii="宋体" w:hAnsi="宋体" w:eastAsia="宋体" w:cs="宋体"/>
                <w:sz w:val="21"/>
                <w:szCs w:val="21"/>
                <w:lang w:val="en-US" w:eastAsia="zh-CN"/>
              </w:rPr>
              <w:t>2</w:t>
            </w:r>
            <w:r>
              <w:rPr>
                <w:rFonts w:hint="eastAsia" w:ascii="宋体" w:hAnsi="宋体" w:cs="宋体"/>
                <w:sz w:val="21"/>
                <w:szCs w:val="21"/>
                <w:lang w:val="en-US" w:eastAsia="zh-CN"/>
              </w:rPr>
              <w:t>1</w:t>
            </w:r>
            <w:r>
              <w:rPr>
                <w:rFonts w:hint="eastAsia" w:ascii="宋体" w:hAnsi="宋体" w:eastAsia="宋体" w:cs="宋体"/>
                <w:sz w:val="21"/>
                <w:szCs w:val="21"/>
              </w:rPr>
              <w:t>年</w:t>
            </w:r>
            <w:r>
              <w:rPr>
                <w:rFonts w:hint="eastAsia" w:ascii="宋体" w:hAnsi="宋体" w:cs="宋体"/>
                <w:sz w:val="21"/>
                <w:szCs w:val="21"/>
                <w:lang w:val="en-US" w:eastAsia="zh-CN"/>
              </w:rPr>
              <w:t>9</w:t>
            </w:r>
            <w:r>
              <w:rPr>
                <w:rFonts w:hint="eastAsia" w:ascii="宋体" w:hAnsi="宋体" w:eastAsia="宋体" w:cs="宋体"/>
                <w:sz w:val="21"/>
                <w:szCs w:val="21"/>
              </w:rPr>
              <w:t>月</w:t>
            </w:r>
            <w:r>
              <w:rPr>
                <w:rFonts w:hint="eastAsia" w:ascii="宋体" w:hAnsi="宋体" w:cs="宋体"/>
                <w:sz w:val="21"/>
                <w:szCs w:val="21"/>
                <w:lang w:val="en-US" w:eastAsia="zh-CN"/>
              </w:rPr>
              <w:t>1</w:t>
            </w:r>
            <w:r>
              <w:rPr>
                <w:rFonts w:hint="eastAsia" w:ascii="宋体" w:hAnsi="宋体" w:eastAsia="宋体" w:cs="宋体"/>
                <w:sz w:val="21"/>
                <w:szCs w:val="21"/>
                <w:lang w:val="en-US" w:eastAsia="zh-CN"/>
              </w:rPr>
              <w:t>日</w:t>
            </w:r>
            <w:r>
              <w:rPr>
                <w:rFonts w:hint="eastAsia" w:ascii="宋体" w:hAnsi="宋体" w:eastAsia="宋体" w:cs="宋体"/>
                <w:color w:val="000000"/>
                <w:sz w:val="21"/>
                <w:szCs w:val="21"/>
              </w:rPr>
              <w:t>，</w:t>
            </w:r>
            <w:r>
              <w:rPr>
                <w:rFonts w:hint="eastAsia" w:ascii="宋体" w:hAnsi="宋体" w:cs="宋体"/>
                <w:color w:val="000000"/>
                <w:sz w:val="21"/>
                <w:szCs w:val="21"/>
                <w:lang w:val="en-US" w:eastAsia="zh-CN"/>
              </w:rPr>
              <w:t>统计人：</w:t>
            </w:r>
            <w:r>
              <w:rPr>
                <w:rFonts w:hint="eastAsia" w:ascii="宋体" w:hAnsi="宋体" w:eastAsia="宋体" w:cs="宋体"/>
                <w:color w:val="000000"/>
                <w:sz w:val="21"/>
                <w:szCs w:val="21"/>
              </w:rPr>
              <w:t>符孝勇。完成情况：以上各目标均已达成。</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tcPr>
          <w:p>
            <w:pPr>
              <w:spacing w:line="360" w:lineRule="auto"/>
              <w:rPr>
                <w:rFonts w:hint="eastAsia" w:ascii="宋体" w:hAnsi="宋体" w:eastAsia="宋体" w:cs="宋体"/>
                <w:color w:val="000000"/>
                <w:sz w:val="21"/>
                <w:szCs w:val="21"/>
              </w:rPr>
            </w:pPr>
          </w:p>
          <w:p>
            <w:pPr>
              <w:spacing w:line="360" w:lineRule="auto"/>
              <w:rPr>
                <w:rFonts w:hint="eastAsia" w:ascii="宋体" w:hAnsi="宋体" w:eastAsia="宋体" w:cs="宋体"/>
                <w:color w:val="000000"/>
                <w:sz w:val="21"/>
                <w:szCs w:val="21"/>
              </w:rPr>
            </w:pPr>
          </w:p>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基础设施</w:t>
            </w:r>
          </w:p>
          <w:p>
            <w:pPr>
              <w:pStyle w:val="4"/>
              <w:rPr>
                <w:rFonts w:hint="eastAsia"/>
              </w:rPr>
            </w:pPr>
            <w:r>
              <w:rPr>
                <w:rFonts w:hint="default" w:ascii="Times New Roman" w:hAnsi="Times New Roman" w:eastAsia="宋体" w:cs="Times New Roman"/>
                <w:color w:val="auto"/>
                <w:sz w:val="21"/>
                <w:szCs w:val="21"/>
              </w:rPr>
              <w:t>监视和测量资源</w:t>
            </w:r>
          </w:p>
          <w:p>
            <w:pPr>
              <w:pStyle w:val="4"/>
              <w:rPr>
                <w:rFonts w:hint="eastAsia"/>
              </w:rPr>
            </w:pPr>
          </w:p>
          <w:p>
            <w:pPr>
              <w:spacing w:line="360" w:lineRule="auto"/>
              <w:rPr>
                <w:rFonts w:hint="eastAsia" w:ascii="宋体" w:hAnsi="宋体" w:eastAsia="宋体" w:cs="宋体"/>
                <w:color w:val="000000"/>
                <w:sz w:val="21"/>
                <w:szCs w:val="21"/>
              </w:rPr>
            </w:pPr>
          </w:p>
        </w:tc>
        <w:tc>
          <w:tcPr>
            <w:tcW w:w="1070" w:type="dxa"/>
          </w:tcPr>
          <w:p>
            <w:pPr>
              <w:pStyle w:val="13"/>
              <w:rPr>
                <w:rFonts w:hint="eastAsia" w:ascii="Times New Roman" w:hAnsi="Times New Roman" w:eastAsia="宋体" w:cs="Times New Roman"/>
                <w:bCs w:val="0"/>
                <w:spacing w:val="0"/>
                <w:kern w:val="2"/>
                <w:sz w:val="21"/>
                <w:lang w:val="en-US" w:eastAsia="zh-CN" w:bidi="ar-SA"/>
              </w:rPr>
            </w:pPr>
          </w:p>
          <w:p>
            <w:pPr>
              <w:pStyle w:val="13"/>
              <w:rPr>
                <w:rFonts w:hint="eastAsia" w:ascii="Times New Roman" w:hAnsi="Times New Roman" w:eastAsia="宋体" w:cs="Times New Roman"/>
                <w:bCs w:val="0"/>
                <w:spacing w:val="0"/>
                <w:kern w:val="2"/>
                <w:sz w:val="21"/>
                <w:lang w:val="en-US" w:eastAsia="zh-CN" w:bidi="ar-SA"/>
              </w:rPr>
            </w:pPr>
          </w:p>
          <w:p>
            <w:pPr>
              <w:pStyle w:val="13"/>
              <w:rPr>
                <w:rFonts w:hint="eastAsia" w:ascii="Times New Roman" w:hAnsi="Times New Roman" w:eastAsia="宋体" w:cs="Times New Roman"/>
                <w:bCs w:val="0"/>
                <w:spacing w:val="0"/>
                <w:kern w:val="2"/>
                <w:sz w:val="21"/>
                <w:lang w:val="en-US" w:eastAsia="zh-CN" w:bidi="ar-SA"/>
              </w:rPr>
            </w:pPr>
          </w:p>
          <w:p>
            <w:pPr>
              <w:pStyle w:val="13"/>
              <w:rPr>
                <w:rFonts w:hint="eastAsia" w:ascii="Times New Roman" w:hAnsi="Times New Roman" w:eastAsia="宋体" w:cs="Times New Roman"/>
                <w:bCs w:val="0"/>
                <w:spacing w:val="0"/>
                <w:kern w:val="2"/>
                <w:sz w:val="21"/>
                <w:lang w:val="en-US" w:eastAsia="zh-CN" w:bidi="ar-SA"/>
              </w:rPr>
            </w:pPr>
            <w:r>
              <w:rPr>
                <w:rFonts w:hint="eastAsia" w:ascii="Times New Roman" w:hAnsi="Times New Roman" w:eastAsia="宋体" w:cs="Times New Roman"/>
                <w:bCs w:val="0"/>
                <w:spacing w:val="0"/>
                <w:kern w:val="2"/>
                <w:sz w:val="21"/>
                <w:lang w:val="en-US" w:eastAsia="zh-CN" w:bidi="ar-SA"/>
              </w:rPr>
              <w:t>Q7.1.3</w:t>
            </w:r>
          </w:p>
          <w:p>
            <w:pPr>
              <w:pStyle w:val="13"/>
              <w:rPr>
                <w:rFonts w:hint="eastAsia" w:ascii="Times New Roman" w:hAnsi="Times New Roman" w:eastAsia="宋体" w:cs="Times New Roman"/>
                <w:bCs w:val="0"/>
                <w:spacing w:val="0"/>
                <w:kern w:val="2"/>
                <w:sz w:val="21"/>
                <w:lang w:val="en-US" w:eastAsia="zh-CN" w:bidi="ar-SA"/>
              </w:rPr>
            </w:pPr>
            <w:r>
              <w:rPr>
                <w:rFonts w:hint="eastAsia" w:ascii="Times New Roman" w:hAnsi="Times New Roman" w:eastAsia="宋体" w:cs="Times New Roman"/>
                <w:bCs w:val="0"/>
                <w:spacing w:val="0"/>
                <w:kern w:val="2"/>
                <w:sz w:val="21"/>
                <w:lang w:val="en-US" w:eastAsia="zh-CN" w:bidi="ar-SA"/>
              </w:rPr>
              <w:t>Q7.1.5</w:t>
            </w:r>
          </w:p>
        </w:tc>
        <w:tc>
          <w:tcPr>
            <w:tcW w:w="11172" w:type="dxa"/>
            <w:vAlign w:val="center"/>
          </w:tcPr>
          <w:p>
            <w:pPr>
              <w:pStyle w:val="13"/>
              <w:spacing w:line="360" w:lineRule="auto"/>
              <w:rPr>
                <w:rFonts w:hint="eastAsia" w:ascii="Times New Roman" w:hAnsi="Times New Roman" w:eastAsia="宋体" w:cs="Times New Roman"/>
                <w:bCs w:val="0"/>
                <w:spacing w:val="0"/>
                <w:kern w:val="2"/>
                <w:sz w:val="21"/>
                <w:lang w:val="en-US" w:eastAsia="zh-CN" w:bidi="ar-SA"/>
              </w:rPr>
            </w:pPr>
            <w:r>
              <w:rPr>
                <w:rFonts w:hint="eastAsia" w:ascii="Times New Roman" w:hAnsi="Times New Roman" w:eastAsia="宋体" w:cs="Times New Roman"/>
                <w:bCs w:val="0"/>
                <w:spacing w:val="0"/>
                <w:kern w:val="2"/>
                <w:sz w:val="21"/>
                <w:lang w:val="en-US" w:eastAsia="zh-CN" w:bidi="ar-SA"/>
              </w:rPr>
              <w:t>提供了《</w:t>
            </w:r>
            <w:r>
              <w:rPr>
                <w:rFonts w:hint="eastAsia" w:cs="Times New Roman"/>
                <w:bCs w:val="0"/>
                <w:spacing w:val="0"/>
                <w:kern w:val="2"/>
                <w:sz w:val="21"/>
                <w:lang w:val="en-US" w:eastAsia="zh-CN" w:bidi="ar-SA"/>
              </w:rPr>
              <w:t>麻醉科</w:t>
            </w:r>
            <w:r>
              <w:rPr>
                <w:rFonts w:hint="eastAsia" w:ascii="Times New Roman" w:hAnsi="Times New Roman" w:eastAsia="宋体" w:cs="Times New Roman"/>
                <w:bCs w:val="0"/>
                <w:spacing w:val="0"/>
                <w:kern w:val="2"/>
                <w:sz w:val="21"/>
                <w:lang w:val="en-US" w:eastAsia="zh-CN" w:bidi="ar-SA"/>
              </w:rPr>
              <w:t>医疗设备台帐》，配置ABS麻醉车</w:t>
            </w:r>
            <w:r>
              <w:rPr>
                <w:rFonts w:hint="eastAsia" w:cs="Times New Roman"/>
                <w:bCs w:val="0"/>
                <w:spacing w:val="0"/>
                <w:kern w:val="2"/>
                <w:sz w:val="21"/>
                <w:lang w:val="en-US" w:eastAsia="zh-CN" w:bidi="ar-SA"/>
              </w:rPr>
              <w:t>、德尔格 麻醉系统、德尔格 麻醉机、HCBM-7810麻醉车</w:t>
            </w:r>
            <w:r>
              <w:rPr>
                <w:rFonts w:hint="eastAsia" w:ascii="Times New Roman" w:hAnsi="Times New Roman" w:eastAsia="宋体" w:cs="Times New Roman"/>
                <w:bCs w:val="0"/>
                <w:spacing w:val="0"/>
                <w:kern w:val="2"/>
                <w:sz w:val="21"/>
                <w:lang w:val="en-US" w:eastAsia="zh-CN" w:bidi="ar-SA"/>
              </w:rPr>
              <w:t>等。</w:t>
            </w:r>
          </w:p>
          <w:p>
            <w:pPr>
              <w:pStyle w:val="13"/>
              <w:spacing w:line="360" w:lineRule="auto"/>
              <w:rPr>
                <w:rFonts w:hint="eastAsia" w:ascii="Times New Roman" w:hAnsi="Times New Roman" w:eastAsia="宋体" w:cs="Times New Roman"/>
                <w:bCs w:val="0"/>
                <w:spacing w:val="0"/>
                <w:kern w:val="2"/>
                <w:sz w:val="21"/>
                <w:lang w:val="en-US" w:eastAsia="zh-CN" w:bidi="ar-SA"/>
              </w:rPr>
            </w:pPr>
            <w:r>
              <w:rPr>
                <w:rFonts w:hint="eastAsia" w:ascii="Times New Roman" w:hAnsi="Times New Roman" w:eastAsia="宋体" w:cs="Times New Roman"/>
                <w:bCs w:val="0"/>
                <w:spacing w:val="0"/>
                <w:kern w:val="2"/>
                <w:sz w:val="21"/>
                <w:lang w:val="en-US" w:eastAsia="zh-CN" w:bidi="ar-SA"/>
              </w:rPr>
              <w:t>有《2021年设备检修计划》中已将主要设备列入计划中，设备维护保养要求，明确了维护保养产品、周期等。</w:t>
            </w:r>
          </w:p>
          <w:p>
            <w:pPr>
              <w:pStyle w:val="13"/>
              <w:spacing w:line="360" w:lineRule="auto"/>
              <w:rPr>
                <w:rFonts w:hint="eastAsia" w:ascii="Times New Roman" w:hAnsi="Times New Roman" w:eastAsia="宋体" w:cs="Times New Roman"/>
                <w:bCs w:val="0"/>
                <w:spacing w:val="0"/>
                <w:kern w:val="2"/>
                <w:sz w:val="21"/>
                <w:lang w:val="en-US" w:eastAsia="zh-CN" w:bidi="ar-SA"/>
              </w:rPr>
            </w:pPr>
            <w:r>
              <w:rPr>
                <w:rFonts w:hint="eastAsia" w:ascii="Times New Roman" w:hAnsi="Times New Roman" w:eastAsia="宋体" w:cs="Times New Roman"/>
                <w:bCs w:val="0"/>
                <w:spacing w:val="0"/>
                <w:kern w:val="2"/>
                <w:sz w:val="21"/>
                <w:lang w:val="en-US" w:eastAsia="zh-CN" w:bidi="ar-SA"/>
              </w:rPr>
              <w:t>提供了《设备日常保养项目表》，查设备保养实施情况：每日进行一次，抽查《设备保养记录》。</w:t>
            </w:r>
          </w:p>
          <w:p>
            <w:pPr>
              <w:pStyle w:val="13"/>
              <w:rPr>
                <w:rFonts w:hint="default" w:ascii="Times New Roman" w:hAnsi="Times New Roman" w:eastAsia="宋体" w:cs="Times New Roman"/>
                <w:bCs w:val="0"/>
                <w:spacing w:val="0"/>
                <w:kern w:val="2"/>
                <w:sz w:val="21"/>
                <w:lang w:val="en-US" w:eastAsia="zh-CN" w:bidi="ar-SA"/>
              </w:rPr>
            </w:pPr>
            <w:r>
              <w:rPr>
                <w:rFonts w:hint="eastAsia" w:ascii="Times New Roman" w:hAnsi="Times New Roman" w:cs="Times New Roman"/>
                <w:bCs w:val="0"/>
                <w:spacing w:val="0"/>
                <w:kern w:val="2"/>
                <w:sz w:val="21"/>
                <w:lang w:val="en-US" w:eastAsia="zh-CN" w:bidi="ar-SA"/>
              </w:rPr>
              <w:t>抽：</w:t>
            </w:r>
            <w:r>
              <w:rPr>
                <w:rFonts w:hint="eastAsia" w:ascii="Times New Roman" w:hAnsi="Times New Roman" w:eastAsia="宋体" w:cs="Times New Roman"/>
                <w:bCs w:val="0"/>
                <w:spacing w:val="0"/>
                <w:kern w:val="2"/>
                <w:sz w:val="21"/>
                <w:lang w:val="en-US" w:eastAsia="zh-CN" w:bidi="ar-SA"/>
              </w:rPr>
              <w:t>日常保养</w:t>
            </w:r>
            <w:r>
              <w:rPr>
                <w:rFonts w:hint="eastAsia" w:ascii="Times New Roman" w:hAnsi="Times New Roman" w:cs="Times New Roman"/>
                <w:bCs w:val="0"/>
                <w:spacing w:val="0"/>
                <w:kern w:val="2"/>
                <w:sz w:val="21"/>
                <w:lang w:val="en-US" w:eastAsia="zh-CN" w:bidi="ar-SA"/>
              </w:rPr>
              <w:t>记录表。</w:t>
            </w:r>
          </w:p>
          <w:p>
            <w:pPr>
              <w:pStyle w:val="13"/>
              <w:rPr>
                <w:rFonts w:hint="eastAsia" w:ascii="仿宋" w:hAnsi="仿宋" w:eastAsia="仿宋" w:cs="仿宋"/>
                <w:sz w:val="28"/>
                <w:szCs w:val="28"/>
                <w:lang w:val="en-US" w:eastAsia="zh-CN"/>
              </w:rPr>
            </w:pPr>
            <w:r>
              <w:rPr>
                <w:rFonts w:hint="eastAsia" w:cs="Times New Roman"/>
                <w:b/>
                <w:bCs/>
                <w:color w:val="FF0000"/>
                <w:spacing w:val="0"/>
                <w:kern w:val="2"/>
                <w:sz w:val="21"/>
                <w:lang w:val="en-US" w:eastAsia="zh-CN" w:bidi="ar-SA"/>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val="en-US" w:eastAsia="zh-CN"/>
              </w:rPr>
              <w:drawing>
                <wp:inline distT="0" distB="0" distL="114300" distR="114300">
                  <wp:extent cx="2371090" cy="2061210"/>
                  <wp:effectExtent l="0" t="0" r="3810" b="8890"/>
                  <wp:docPr id="3" name="图片 3" descr="584ef2740a41edb88861cd1d8f02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84ef2740a41edb88861cd1d8f02d51"/>
                          <pic:cNvPicPr>
                            <a:picLocks noChangeAspect="1"/>
                          </pic:cNvPicPr>
                        </pic:nvPicPr>
                        <pic:blipFill>
                          <a:blip r:embed="rId6"/>
                          <a:stretch>
                            <a:fillRect/>
                          </a:stretch>
                        </pic:blipFill>
                        <pic:spPr>
                          <a:xfrm>
                            <a:off x="0" y="0"/>
                            <a:ext cx="2371090" cy="2061210"/>
                          </a:xfrm>
                          <a:prstGeom prst="rect">
                            <a:avLst/>
                          </a:prstGeom>
                        </pic:spPr>
                      </pic:pic>
                    </a:graphicData>
                  </a:graphic>
                </wp:inline>
              </w:draw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val="en-US" w:eastAsia="zh-CN"/>
              </w:rPr>
              <w:drawing>
                <wp:inline distT="0" distB="0" distL="114300" distR="114300">
                  <wp:extent cx="2194560" cy="2072005"/>
                  <wp:effectExtent l="0" t="0" r="2540" b="10795"/>
                  <wp:docPr id="4" name="图片 4" descr="7c12382ce3c4d888c1a9c542980cb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c12382ce3c4d888c1a9c542980cb0b"/>
                          <pic:cNvPicPr>
                            <a:picLocks noChangeAspect="1"/>
                          </pic:cNvPicPr>
                        </pic:nvPicPr>
                        <pic:blipFill>
                          <a:blip r:embed="rId7"/>
                          <a:stretch>
                            <a:fillRect/>
                          </a:stretch>
                        </pic:blipFill>
                        <pic:spPr>
                          <a:xfrm>
                            <a:off x="0" y="0"/>
                            <a:ext cx="2194560" cy="2072005"/>
                          </a:xfrm>
                          <a:prstGeom prst="rect">
                            <a:avLst/>
                          </a:prstGeom>
                        </pic:spPr>
                      </pic:pic>
                    </a:graphicData>
                  </a:graphic>
                </wp:inline>
              </w:draw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val="en-US" w:eastAsia="zh-CN"/>
              </w:rPr>
              <w:drawing>
                <wp:inline distT="0" distB="0" distL="114300" distR="114300">
                  <wp:extent cx="1966595" cy="1658620"/>
                  <wp:effectExtent l="0" t="0" r="1905" b="5080"/>
                  <wp:docPr id="10" name="图片 10" descr="b2efc305423a01df1c645d6c659e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2efc305423a01df1c645d6c659e975"/>
                          <pic:cNvPicPr>
                            <a:picLocks noChangeAspect="1"/>
                          </pic:cNvPicPr>
                        </pic:nvPicPr>
                        <pic:blipFill>
                          <a:blip r:embed="rId8"/>
                          <a:stretch>
                            <a:fillRect/>
                          </a:stretch>
                        </pic:blipFill>
                        <pic:spPr>
                          <a:xfrm>
                            <a:off x="0" y="0"/>
                            <a:ext cx="1966595" cy="1658620"/>
                          </a:xfrm>
                          <a:prstGeom prst="rect">
                            <a:avLst/>
                          </a:prstGeom>
                        </pic:spPr>
                      </pic:pic>
                    </a:graphicData>
                  </a:graphic>
                </wp:inline>
              </w:drawing>
            </w:r>
          </w:p>
          <w:p>
            <w:pPr>
              <w:pStyle w:val="13"/>
              <w:rPr>
                <w:rFonts w:hint="default" w:ascii="仿宋" w:hAnsi="仿宋" w:eastAsia="仿宋" w:cs="仿宋"/>
                <w:sz w:val="28"/>
                <w:szCs w:val="28"/>
                <w:lang w:val="en-US" w:eastAsia="zh-CN"/>
              </w:rPr>
            </w:pPr>
            <w:r>
              <w:rPr>
                <w:rFonts w:hint="eastAsia" w:ascii="仿宋" w:hAnsi="仿宋" w:eastAsia="仿宋" w:cs="仿宋"/>
                <w:bCs w:val="0"/>
                <w:spacing w:val="0"/>
                <w:kern w:val="2"/>
                <w:sz w:val="28"/>
                <w:szCs w:val="28"/>
                <w:lang w:val="en-US" w:eastAsia="zh-CN" w:bidi="ar-SA"/>
              </w:rPr>
              <w:drawing>
                <wp:inline distT="0" distB="0" distL="114300" distR="114300">
                  <wp:extent cx="2510790" cy="1593215"/>
                  <wp:effectExtent l="0" t="0" r="3810" b="6985"/>
                  <wp:docPr id="11" name="图片 11" descr="3326803999eaca27c9c9fae86a56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326803999eaca27c9c9fae86a56426"/>
                          <pic:cNvPicPr>
                            <a:picLocks noChangeAspect="1"/>
                          </pic:cNvPicPr>
                        </pic:nvPicPr>
                        <pic:blipFill>
                          <a:blip r:embed="rId9"/>
                          <a:stretch>
                            <a:fillRect/>
                          </a:stretch>
                        </pic:blipFill>
                        <pic:spPr>
                          <a:xfrm>
                            <a:off x="0" y="0"/>
                            <a:ext cx="2510790" cy="1593215"/>
                          </a:xfrm>
                          <a:prstGeom prst="rect">
                            <a:avLst/>
                          </a:prstGeom>
                        </pic:spPr>
                      </pic:pic>
                    </a:graphicData>
                  </a:graphic>
                </wp:inline>
              </w:drawing>
            </w:r>
            <w:r>
              <w:rPr>
                <w:rFonts w:hint="eastAsia" w:ascii="仿宋" w:hAnsi="仿宋" w:eastAsia="仿宋" w:cs="仿宋"/>
                <w:bCs w:val="0"/>
                <w:spacing w:val="0"/>
                <w:kern w:val="2"/>
                <w:sz w:val="28"/>
                <w:szCs w:val="28"/>
                <w:lang w:val="en-US" w:eastAsia="zh-CN" w:bidi="ar-SA"/>
              </w:rPr>
              <w:t xml:space="preserve"> </w:t>
            </w:r>
            <w:r>
              <w:rPr>
                <w:rFonts w:hint="eastAsia" w:ascii="仿宋" w:hAnsi="仿宋" w:eastAsia="仿宋" w:cs="仿宋"/>
                <w:bCs w:val="0"/>
                <w:spacing w:val="0"/>
                <w:kern w:val="2"/>
                <w:sz w:val="28"/>
                <w:szCs w:val="28"/>
                <w:lang w:val="en-US" w:eastAsia="zh-CN" w:bidi="ar-SA"/>
              </w:rPr>
              <w:drawing>
                <wp:inline distT="0" distB="0" distL="114300" distR="114300">
                  <wp:extent cx="2466975" cy="1591310"/>
                  <wp:effectExtent l="0" t="0" r="9525" b="8890"/>
                  <wp:docPr id="12" name="图片 12" descr="9201c9be3079e13866b1f3df7e5a3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201c9be3079e13866b1f3df7e5a38e"/>
                          <pic:cNvPicPr>
                            <a:picLocks noChangeAspect="1"/>
                          </pic:cNvPicPr>
                        </pic:nvPicPr>
                        <pic:blipFill>
                          <a:blip r:embed="rId10"/>
                          <a:stretch>
                            <a:fillRect/>
                          </a:stretch>
                        </pic:blipFill>
                        <pic:spPr>
                          <a:xfrm>
                            <a:off x="0" y="0"/>
                            <a:ext cx="2466975" cy="1591310"/>
                          </a:xfrm>
                          <a:prstGeom prst="rect">
                            <a:avLst/>
                          </a:prstGeom>
                        </pic:spPr>
                      </pic:pic>
                    </a:graphicData>
                  </a:graphic>
                </wp:inline>
              </w:drawing>
            </w:r>
          </w:p>
          <w:p>
            <w:pPr>
              <w:pStyle w:val="13"/>
              <w:rPr>
                <w:rFonts w:hint="eastAsia" w:ascii="Times New Roman" w:hAnsi="Times New Roman" w:eastAsia="宋体" w:cs="Times New Roman"/>
                <w:bCs w:val="0"/>
                <w:spacing w:val="0"/>
                <w:kern w:val="2"/>
                <w:sz w:val="21"/>
                <w:lang w:val="en-US" w:eastAsia="zh-CN" w:bidi="ar-SA"/>
              </w:rPr>
            </w:pPr>
            <w:r>
              <w:rPr>
                <w:rFonts w:hint="eastAsia" w:cs="Times New Roman"/>
                <w:bCs w:val="0"/>
                <w:spacing w:val="0"/>
                <w:kern w:val="2"/>
                <w:sz w:val="21"/>
                <w:lang w:val="en-US" w:eastAsia="zh-CN" w:bidi="ar-SA"/>
              </w:rPr>
              <w:t xml:space="preserve"> </w:t>
            </w:r>
            <w:r>
              <w:rPr>
                <w:rFonts w:hint="eastAsia"/>
                <w:lang w:val="en-US" w:eastAsia="zh-CN"/>
              </w:rPr>
              <w:t xml:space="preserve">  </w:t>
            </w:r>
            <w:r>
              <w:drawing>
                <wp:inline distT="0" distB="0" distL="114300" distR="114300">
                  <wp:extent cx="2280285" cy="3263265"/>
                  <wp:effectExtent l="0" t="0" r="5715" b="63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1"/>
                          <a:stretch>
                            <a:fillRect/>
                          </a:stretch>
                        </pic:blipFill>
                        <pic:spPr>
                          <a:xfrm>
                            <a:off x="0" y="0"/>
                            <a:ext cx="2280285" cy="326326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286000" cy="3236595"/>
                  <wp:effectExtent l="0" t="0" r="0" b="190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2"/>
                          <a:stretch>
                            <a:fillRect/>
                          </a:stretch>
                        </pic:blipFill>
                        <pic:spPr>
                          <a:xfrm>
                            <a:off x="0" y="0"/>
                            <a:ext cx="2286000" cy="3236595"/>
                          </a:xfrm>
                          <a:prstGeom prst="rect">
                            <a:avLst/>
                          </a:prstGeom>
                          <a:noFill/>
                          <a:ln>
                            <a:noFill/>
                          </a:ln>
                        </pic:spPr>
                      </pic:pic>
                    </a:graphicData>
                  </a:graphic>
                </wp:inline>
              </w:drawing>
            </w:r>
          </w:p>
        </w:tc>
        <w:tc>
          <w:tcPr>
            <w:tcW w:w="760" w:type="dxa"/>
          </w:tcPr>
          <w:p>
            <w:pPr>
              <w:spacing w:line="320" w:lineRule="exact"/>
            </w:pPr>
          </w:p>
          <w:p>
            <w:pPr>
              <w:pStyle w:val="2"/>
            </w:pPr>
          </w:p>
          <w:p>
            <w:pPr>
              <w:pStyle w:val="3"/>
              <w:rPr>
                <w:rFonts w:ascii="宋体" w:hAnsi="宋体" w:cs="宋体"/>
                <w:color w:val="FF0000"/>
                <w:szCs w:val="21"/>
              </w:rPr>
            </w:pPr>
          </w:p>
          <w:p>
            <w:pPr>
              <w:pStyle w:val="3"/>
              <w:rPr>
                <w:rFonts w:ascii="宋体" w:hAnsi="宋体" w:cs="宋体"/>
                <w:color w:val="FF0000"/>
                <w:szCs w:val="21"/>
              </w:rPr>
            </w:pPr>
          </w:p>
          <w:p>
            <w:pPr>
              <w:pStyle w:val="3"/>
              <w:rPr>
                <w:rFonts w:ascii="宋体" w:hAnsi="宋体" w:cs="宋体"/>
                <w:color w:val="FF0000"/>
                <w:szCs w:val="21"/>
              </w:rPr>
            </w:pPr>
          </w:p>
          <w:p>
            <w:pPr>
              <w:pStyle w:val="3"/>
              <w:rPr>
                <w:rFonts w:hint="eastAsia" w:ascii="宋体" w:hAnsi="宋体" w:eastAsia="宋体" w:cs="宋体"/>
                <w:color w:val="FF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707" w:type="dxa"/>
          </w:tcPr>
          <w:p>
            <w:pPr>
              <w:pStyle w:val="13"/>
              <w:rPr>
                <w:rFonts w:hint="eastAsia" w:ascii="Times New Roman" w:hAnsi="Times New Roman" w:eastAsia="宋体" w:cs="Times New Roman"/>
                <w:bCs w:val="0"/>
                <w:spacing w:val="0"/>
                <w:kern w:val="2"/>
                <w:sz w:val="21"/>
                <w:lang w:val="en-US" w:eastAsia="zh-CN" w:bidi="ar-SA"/>
              </w:rPr>
            </w:pPr>
            <w:r>
              <w:rPr>
                <w:rFonts w:hint="eastAsia" w:ascii="Times New Roman" w:hAnsi="Times New Roman" w:eastAsia="宋体" w:cs="Times New Roman"/>
                <w:bCs w:val="0"/>
                <w:spacing w:val="0"/>
                <w:kern w:val="2"/>
                <w:sz w:val="21"/>
                <w:lang w:val="en-US" w:eastAsia="zh-CN" w:bidi="ar-SA"/>
              </w:rPr>
              <w:t>工作环境</w:t>
            </w:r>
          </w:p>
        </w:tc>
        <w:tc>
          <w:tcPr>
            <w:tcW w:w="1070" w:type="dxa"/>
          </w:tcPr>
          <w:p>
            <w:pPr>
              <w:pStyle w:val="13"/>
              <w:rPr>
                <w:rFonts w:hint="eastAsia" w:ascii="Times New Roman" w:hAnsi="Times New Roman" w:eastAsia="宋体" w:cs="Times New Roman"/>
                <w:bCs w:val="0"/>
                <w:spacing w:val="0"/>
                <w:kern w:val="2"/>
                <w:sz w:val="21"/>
                <w:lang w:val="en-US" w:eastAsia="zh-CN" w:bidi="ar-SA"/>
              </w:rPr>
            </w:pPr>
            <w:r>
              <w:rPr>
                <w:rFonts w:hint="eastAsia" w:ascii="Times New Roman" w:hAnsi="Times New Roman" w:eastAsia="宋体" w:cs="Times New Roman"/>
                <w:bCs w:val="0"/>
                <w:spacing w:val="0"/>
                <w:kern w:val="2"/>
                <w:sz w:val="21"/>
                <w:lang w:val="en-US" w:eastAsia="zh-CN" w:bidi="ar-SA"/>
              </w:rPr>
              <w:t>Q7.1.4</w:t>
            </w:r>
          </w:p>
          <w:p>
            <w:pPr>
              <w:pStyle w:val="13"/>
              <w:rPr>
                <w:rFonts w:hint="eastAsia" w:ascii="Times New Roman" w:hAnsi="Times New Roman" w:eastAsia="宋体" w:cs="Times New Roman"/>
                <w:bCs w:val="0"/>
                <w:spacing w:val="0"/>
                <w:kern w:val="2"/>
                <w:sz w:val="21"/>
                <w:lang w:val="en-US" w:eastAsia="zh-CN" w:bidi="ar-SA"/>
              </w:rPr>
            </w:pPr>
          </w:p>
        </w:tc>
        <w:tc>
          <w:tcPr>
            <w:tcW w:w="11172" w:type="dxa"/>
            <w:vAlign w:val="center"/>
          </w:tcPr>
          <w:p>
            <w:pPr>
              <w:pStyle w:val="13"/>
              <w:spacing w:line="360" w:lineRule="auto"/>
              <w:rPr>
                <w:rFonts w:hint="eastAsia" w:ascii="Times New Roman" w:hAnsi="Times New Roman" w:eastAsia="宋体" w:cs="Times New Roman"/>
                <w:bCs w:val="0"/>
                <w:spacing w:val="0"/>
                <w:kern w:val="2"/>
                <w:sz w:val="21"/>
                <w:lang w:val="en-US" w:eastAsia="zh-CN" w:bidi="ar-SA"/>
              </w:rPr>
            </w:pPr>
            <w:r>
              <w:rPr>
                <w:rFonts w:hint="eastAsia" w:ascii="Times New Roman" w:hAnsi="Times New Roman" w:eastAsia="宋体" w:cs="Times New Roman"/>
                <w:bCs w:val="0"/>
                <w:spacing w:val="0"/>
                <w:kern w:val="2"/>
                <w:sz w:val="21"/>
                <w:lang w:val="en-US" w:eastAsia="zh-CN" w:bidi="ar-SA"/>
              </w:rPr>
              <w:t>策划并制定了《工作环境和管理要求》，现场观察办公区域环境卫生管理，工作场所布局合理，温湿度适宜，照明良好，满足办公需求。</w:t>
            </w:r>
          </w:p>
          <w:p>
            <w:pPr>
              <w:pStyle w:val="13"/>
              <w:spacing w:line="360" w:lineRule="auto"/>
              <w:rPr>
                <w:rFonts w:hint="eastAsia" w:ascii="Times New Roman" w:hAnsi="Times New Roman" w:eastAsia="宋体" w:cs="Times New Roman"/>
                <w:bCs w:val="0"/>
                <w:spacing w:val="0"/>
                <w:kern w:val="2"/>
                <w:sz w:val="21"/>
                <w:lang w:val="en-US" w:eastAsia="zh-CN" w:bidi="ar-SA"/>
              </w:rPr>
            </w:pPr>
            <w:r>
              <w:rPr>
                <w:rFonts w:hint="eastAsia" w:cs="Times New Roman"/>
                <w:bCs w:val="0"/>
                <w:spacing w:val="0"/>
                <w:kern w:val="2"/>
                <w:sz w:val="21"/>
                <w:lang w:val="en-US" w:eastAsia="zh-CN" w:bidi="ar-SA"/>
              </w:rPr>
              <w:t>麻醉科</w:t>
            </w:r>
            <w:r>
              <w:rPr>
                <w:rFonts w:hint="eastAsia" w:ascii="Times New Roman" w:hAnsi="Times New Roman" w:eastAsia="宋体" w:cs="Times New Roman"/>
                <w:bCs w:val="0"/>
                <w:spacing w:val="0"/>
                <w:kern w:val="2"/>
                <w:sz w:val="21"/>
                <w:lang w:val="en-US" w:eastAsia="zh-CN" w:bidi="ar-SA"/>
              </w:rPr>
              <w:t>区域配置有消防栓、灭火器，设置在墙内，办公场所卫生环境干净、光线充足合理。有“环境卫生管理制度”、“安全防火规定等规章制度”等规章制度。运行环境满足要求。</w:t>
            </w:r>
          </w:p>
          <w:p>
            <w:pPr>
              <w:pStyle w:val="13"/>
              <w:spacing w:line="360" w:lineRule="auto"/>
              <w:rPr>
                <w:rFonts w:hint="default" w:ascii="Times New Roman" w:hAnsi="Times New Roman" w:eastAsia="宋体" w:cs="Times New Roman"/>
                <w:bCs w:val="0"/>
                <w:spacing w:val="0"/>
                <w:kern w:val="2"/>
                <w:sz w:val="21"/>
                <w:lang w:val="en-US" w:eastAsia="zh-CN" w:bidi="ar-SA"/>
              </w:rPr>
            </w:pPr>
            <w:r>
              <w:rPr>
                <w:rFonts w:hint="eastAsia" w:ascii="仿宋" w:hAnsi="仿宋" w:eastAsia="仿宋" w:cs="仿宋"/>
                <w:sz w:val="28"/>
                <w:szCs w:val="28"/>
                <w:lang w:val="en-US" w:eastAsia="zh-CN"/>
              </w:rPr>
              <w:drawing>
                <wp:inline distT="0" distB="0" distL="114300" distR="114300">
                  <wp:extent cx="2459355" cy="1743075"/>
                  <wp:effectExtent l="0" t="0" r="4445" b="9525"/>
                  <wp:docPr id="24" name="图片 24" descr="f6eed15c967be50d6816e628e4bd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6eed15c967be50d6816e628e4bd357"/>
                          <pic:cNvPicPr>
                            <a:picLocks noChangeAspect="1"/>
                          </pic:cNvPicPr>
                        </pic:nvPicPr>
                        <pic:blipFill>
                          <a:blip r:embed="rId13"/>
                          <a:stretch>
                            <a:fillRect/>
                          </a:stretch>
                        </pic:blipFill>
                        <pic:spPr>
                          <a:xfrm>
                            <a:off x="0" y="0"/>
                            <a:ext cx="2459355" cy="1743075"/>
                          </a:xfrm>
                          <a:prstGeom prst="rect">
                            <a:avLst/>
                          </a:prstGeom>
                        </pic:spPr>
                      </pic:pic>
                    </a:graphicData>
                  </a:graphic>
                </wp:inline>
              </w:draw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val="en-US" w:eastAsia="zh-CN"/>
              </w:rPr>
              <w:drawing>
                <wp:inline distT="0" distB="0" distL="114300" distR="114300">
                  <wp:extent cx="2474595" cy="1749425"/>
                  <wp:effectExtent l="0" t="0" r="1905" b="3175"/>
                  <wp:docPr id="25" name="图片 25" descr="eb4f523ee3f15d46b69cf588cc1d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b4f523ee3f15d46b69cf588cc1d109"/>
                          <pic:cNvPicPr>
                            <a:picLocks noChangeAspect="1"/>
                          </pic:cNvPicPr>
                        </pic:nvPicPr>
                        <pic:blipFill>
                          <a:blip r:embed="rId14"/>
                          <a:stretch>
                            <a:fillRect/>
                          </a:stretch>
                        </pic:blipFill>
                        <pic:spPr>
                          <a:xfrm>
                            <a:off x="0" y="0"/>
                            <a:ext cx="2474595" cy="1749425"/>
                          </a:xfrm>
                          <a:prstGeom prst="rect">
                            <a:avLst/>
                          </a:prstGeom>
                        </pic:spPr>
                      </pic:pic>
                    </a:graphicData>
                  </a:graphic>
                </wp:inline>
              </w:drawing>
            </w:r>
            <w:r>
              <w:rPr>
                <w:rFonts w:hint="eastAsia" w:ascii="仿宋" w:hAnsi="仿宋" w:eastAsia="仿宋" w:cs="仿宋"/>
                <w:sz w:val="28"/>
                <w:szCs w:val="28"/>
                <w:lang w:val="en-US" w:eastAsia="zh-CN"/>
              </w:rPr>
              <w:t xml:space="preserve"> </w:t>
            </w:r>
          </w:p>
          <w:p>
            <w:pPr>
              <w:pStyle w:val="13"/>
              <w:spacing w:line="360" w:lineRule="auto"/>
              <w:rPr>
                <w:rFonts w:hint="eastAsia" w:ascii="Times New Roman" w:hAnsi="Times New Roman" w:eastAsia="宋体" w:cs="Times New Roman"/>
                <w:bCs w:val="0"/>
                <w:spacing w:val="0"/>
                <w:kern w:val="2"/>
                <w:sz w:val="21"/>
                <w:lang w:val="en-US" w:eastAsia="zh-CN" w:bidi="ar-SA"/>
              </w:rPr>
            </w:pPr>
            <w:r>
              <w:rPr>
                <w:rFonts w:hint="eastAsia" w:cs="Times New Roman"/>
                <w:bCs w:val="0"/>
                <w:spacing w:val="0"/>
                <w:kern w:val="2"/>
                <w:sz w:val="21"/>
                <w:lang w:val="en-US" w:eastAsia="zh-CN" w:bidi="ar-SA"/>
              </w:rPr>
              <w:t xml:space="preserve"> </w:t>
            </w:r>
          </w:p>
        </w:tc>
        <w:tc>
          <w:tcPr>
            <w:tcW w:w="760" w:type="dxa"/>
          </w:tcPr>
          <w:p>
            <w:pPr>
              <w:spacing w:line="320" w:lineRule="exact"/>
              <w:rPr>
                <w:rFonts w:ascii="宋体" w:hAnsi="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1707" w:type="dxa"/>
            <w:vAlign w:val="top"/>
          </w:tcPr>
          <w:p>
            <w:pPr>
              <w:spacing w:line="360" w:lineRule="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能力</w:t>
            </w:r>
          </w:p>
          <w:p>
            <w:pPr>
              <w:spacing w:line="360" w:lineRule="auto"/>
              <w:rPr>
                <w:rFonts w:hint="eastAsia" w:ascii="Times New Roman" w:hAnsi="Times New Roman" w:eastAsia="宋体" w:cs="Times New Roman"/>
                <w:b/>
                <w:color w:val="000000" w:themeColor="text1"/>
                <w:kern w:val="2"/>
                <w:sz w:val="21"/>
                <w:szCs w:val="21"/>
                <w:lang w:val="en-US" w:eastAsia="zh-CN" w:bidi="ar-SA"/>
                <w14:textFill>
                  <w14:solidFill>
                    <w14:schemeClr w14:val="tx1"/>
                  </w14:solidFill>
                </w14:textFill>
              </w:rPr>
            </w:pPr>
          </w:p>
        </w:tc>
        <w:tc>
          <w:tcPr>
            <w:tcW w:w="1070" w:type="dxa"/>
            <w:vAlign w:val="top"/>
          </w:tcPr>
          <w:p>
            <w:pPr>
              <w:spacing w:line="360" w:lineRule="auto"/>
              <w:rPr>
                <w:rFonts w:hint="eastAsia"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QE7.2</w:t>
            </w:r>
          </w:p>
        </w:tc>
        <w:tc>
          <w:tcPr>
            <w:tcW w:w="11172" w:type="dxa"/>
            <w:vAlign w:val="center"/>
          </w:tcPr>
          <w:p>
            <w:pPr>
              <w:spacing w:line="360" w:lineRule="auto"/>
            </w:pPr>
            <w:r>
              <w:rPr>
                <w:rFonts w:hint="eastAsia"/>
                <w:lang w:val="en-US" w:eastAsia="zh-CN"/>
              </w:rPr>
              <w:t>麻醉科</w:t>
            </w:r>
            <w:r>
              <w:rPr>
                <w:rFonts w:hint="eastAsia"/>
              </w:rPr>
              <w:t>对各岗位能力规定的要求包括了专业技能、岗位资格、能力、工作经验等。提供《主要任职岗位要求》主要对公司各部门负责人及员工能力要求分别从年龄、教育程度、经验、经历、技能要求等方面进行了规定，定期进行评价，根据结果采取措施，通常是培训。</w:t>
            </w:r>
          </w:p>
          <w:p>
            <w:pPr>
              <w:spacing w:line="360" w:lineRule="auto"/>
              <w:ind w:firstLine="420" w:firstLineChars="200"/>
              <w:rPr>
                <w:rFonts w:hint="eastAsia"/>
                <w:lang w:eastAsia="zh-CN"/>
              </w:rPr>
            </w:pPr>
            <w:r>
              <w:rPr>
                <w:rFonts w:hint="eastAsia"/>
                <w:lang w:val="en-US" w:eastAsia="zh-CN"/>
              </w:rPr>
              <w:t>1、</w:t>
            </w:r>
            <w:r>
              <w:rPr>
                <w:rFonts w:hint="eastAsia"/>
              </w:rPr>
              <w:t>查</w:t>
            </w:r>
            <w:r>
              <w:rPr>
                <w:rFonts w:hint="eastAsia"/>
                <w:lang w:val="en-US" w:eastAsia="zh-CN"/>
              </w:rPr>
              <w:t>麻醉科培训记录和照片。</w:t>
            </w:r>
          </w:p>
          <w:p>
            <w:pPr>
              <w:spacing w:line="360" w:lineRule="auto"/>
              <w:ind w:firstLine="420" w:firstLineChars="200"/>
              <w:rPr>
                <w:rFonts w:hint="default"/>
                <w:lang w:val="en-US"/>
              </w:rPr>
            </w:pPr>
            <w:r>
              <w:rPr>
                <w:rFonts w:hint="eastAsia"/>
                <w:lang w:val="en-US" w:eastAsia="zh-CN"/>
              </w:rPr>
              <w:t xml:space="preserve">  </w:t>
            </w:r>
          </w:p>
          <w:p>
            <w:pPr>
              <w:spacing w:line="360" w:lineRule="auto"/>
              <w:rPr>
                <w:rFonts w:hint="default"/>
                <w:lang w:val="en-US" w:eastAsia="zh-CN"/>
              </w:rPr>
            </w:pPr>
            <w:r>
              <w:rPr>
                <w:rFonts w:hint="eastAsia"/>
                <w:lang w:val="en-US" w:eastAsia="zh-CN"/>
              </w:rPr>
              <w:t xml:space="preserve"> </w:t>
            </w:r>
            <w:r>
              <w:rPr>
                <w:rFonts w:hint="eastAsia" w:ascii="仿宋" w:hAnsi="仿宋" w:eastAsia="仿宋" w:cs="仿宋"/>
                <w:sz w:val="28"/>
                <w:szCs w:val="28"/>
                <w:lang w:val="en-US" w:eastAsia="zh-CN"/>
              </w:rPr>
              <w:t xml:space="preserve"> </w:t>
            </w:r>
          </w:p>
          <w:p>
            <w:pPr>
              <w:pStyle w:val="4"/>
              <w:rPr>
                <w:rFonts w:hint="default" w:ascii="仿宋" w:hAnsi="仿宋" w:eastAsia="仿宋" w:cs="仿宋"/>
                <w:sz w:val="28"/>
                <w:szCs w:val="28"/>
                <w:lang w:val="en-US" w:eastAsia="zh-CN"/>
              </w:rPr>
            </w:pPr>
            <w:r>
              <w:rPr>
                <w:rFonts w:hint="eastAsia"/>
                <w:lang w:val="en-US" w:eastAsia="zh-CN"/>
              </w:rPr>
              <w:t xml:space="preserve"> </w:t>
            </w:r>
            <w:r>
              <w:rPr>
                <w:rFonts w:hint="eastAsia" w:ascii="仿宋" w:hAnsi="仿宋" w:eastAsia="仿宋" w:cs="仿宋"/>
                <w:sz w:val="28"/>
                <w:szCs w:val="28"/>
                <w:lang w:val="en-US" w:eastAsia="zh-CN"/>
              </w:rPr>
              <w:t xml:space="preserve">  </w:t>
            </w:r>
          </w:p>
          <w:p>
            <w:pPr>
              <w:pStyle w:val="4"/>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val="en-US" w:eastAsia="zh-CN"/>
              </w:rPr>
              <w:drawing>
                <wp:inline distT="0" distB="0" distL="114300" distR="114300">
                  <wp:extent cx="2933065" cy="2855595"/>
                  <wp:effectExtent l="0" t="0" r="635" b="1905"/>
                  <wp:docPr id="32" name="图片 32" descr="448ccbc614ffedd8c23d285ff81db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48ccbc614ffedd8c23d285ff81db16"/>
                          <pic:cNvPicPr>
                            <a:picLocks noChangeAspect="1"/>
                          </pic:cNvPicPr>
                        </pic:nvPicPr>
                        <pic:blipFill>
                          <a:blip r:embed="rId15"/>
                          <a:stretch>
                            <a:fillRect/>
                          </a:stretch>
                        </pic:blipFill>
                        <pic:spPr>
                          <a:xfrm rot="10800000">
                            <a:off x="0" y="0"/>
                            <a:ext cx="2933065" cy="2855595"/>
                          </a:xfrm>
                          <a:prstGeom prst="rect">
                            <a:avLst/>
                          </a:prstGeom>
                        </pic:spPr>
                      </pic:pic>
                    </a:graphicData>
                  </a:graphic>
                </wp:inline>
              </w:draw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val="en-US" w:eastAsia="zh-CN"/>
              </w:rPr>
              <w:drawing>
                <wp:inline distT="0" distB="0" distL="114300" distR="114300">
                  <wp:extent cx="2882900" cy="2845435"/>
                  <wp:effectExtent l="0" t="0" r="0" b="12065"/>
                  <wp:docPr id="37" name="图片 37" descr="d543d4242c3952820c453891f54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543d4242c3952820c453891f541505"/>
                          <pic:cNvPicPr>
                            <a:picLocks noChangeAspect="1"/>
                          </pic:cNvPicPr>
                        </pic:nvPicPr>
                        <pic:blipFill>
                          <a:blip r:embed="rId16"/>
                          <a:stretch>
                            <a:fillRect/>
                          </a:stretch>
                        </pic:blipFill>
                        <pic:spPr>
                          <a:xfrm>
                            <a:off x="0" y="0"/>
                            <a:ext cx="2882900" cy="2845435"/>
                          </a:xfrm>
                          <a:prstGeom prst="rect">
                            <a:avLst/>
                          </a:prstGeom>
                        </pic:spPr>
                      </pic:pic>
                    </a:graphicData>
                  </a:graphic>
                </wp:inline>
              </w:drawing>
            </w:r>
          </w:p>
          <w:p>
            <w:pPr>
              <w:pStyle w:val="4"/>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val="en-US" w:eastAsia="zh-CN"/>
              </w:rPr>
              <w:drawing>
                <wp:inline distT="0" distB="0" distL="114300" distR="114300">
                  <wp:extent cx="2295525" cy="2219960"/>
                  <wp:effectExtent l="0" t="0" r="3175" b="2540"/>
                  <wp:docPr id="38" name="图片 38" descr="9cf4a43733d65410b7a9a7c06510f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9cf4a43733d65410b7a9a7c06510fbe"/>
                          <pic:cNvPicPr>
                            <a:picLocks noChangeAspect="1"/>
                          </pic:cNvPicPr>
                        </pic:nvPicPr>
                        <pic:blipFill>
                          <a:blip r:embed="rId17"/>
                          <a:stretch>
                            <a:fillRect/>
                          </a:stretch>
                        </pic:blipFill>
                        <pic:spPr>
                          <a:xfrm>
                            <a:off x="0" y="0"/>
                            <a:ext cx="2295525" cy="2219960"/>
                          </a:xfrm>
                          <a:prstGeom prst="rect">
                            <a:avLst/>
                          </a:prstGeom>
                        </pic:spPr>
                      </pic:pic>
                    </a:graphicData>
                  </a:graphic>
                </wp:inline>
              </w:draw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val="en-US" w:eastAsia="zh-CN"/>
              </w:rPr>
              <w:drawing>
                <wp:inline distT="0" distB="0" distL="114300" distR="114300">
                  <wp:extent cx="2343785" cy="2196465"/>
                  <wp:effectExtent l="0" t="0" r="5715" b="635"/>
                  <wp:docPr id="39" name="图片 39" descr="52f3c2a5ee1a10dd4d0a601904c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2f3c2a5ee1a10dd4d0a601904c2730"/>
                          <pic:cNvPicPr>
                            <a:picLocks noChangeAspect="1"/>
                          </pic:cNvPicPr>
                        </pic:nvPicPr>
                        <pic:blipFill>
                          <a:blip r:embed="rId18"/>
                          <a:stretch>
                            <a:fillRect/>
                          </a:stretch>
                        </pic:blipFill>
                        <pic:spPr>
                          <a:xfrm rot="10800000">
                            <a:off x="0" y="0"/>
                            <a:ext cx="2343785" cy="2196465"/>
                          </a:xfrm>
                          <a:prstGeom prst="rect">
                            <a:avLst/>
                          </a:prstGeom>
                        </pic:spPr>
                      </pic:pic>
                    </a:graphicData>
                  </a:graphic>
                </wp:inline>
              </w:drawing>
            </w:r>
          </w:p>
          <w:p>
            <w:pPr>
              <w:numPr>
                <w:ilvl w:val="0"/>
                <w:numId w:val="1"/>
              </w:numPr>
              <w:spacing w:line="360" w:lineRule="auto"/>
              <w:ind w:firstLine="420" w:firstLineChars="200"/>
              <w:rPr>
                <w:rFonts w:hint="default"/>
                <w:lang w:val="en-US" w:eastAsia="zh-CN"/>
              </w:rPr>
            </w:pPr>
            <w:r>
              <w:rPr>
                <w:rFonts w:hint="eastAsia"/>
                <w:lang w:val="en-US" w:eastAsia="zh-CN"/>
              </w:rPr>
              <w:t>参加医护人员院外培训</w:t>
            </w:r>
          </w:p>
          <w:p>
            <w:pPr>
              <w:spacing w:line="360" w:lineRule="auto"/>
              <w:ind w:firstLine="420" w:firstLineChars="200"/>
              <w:rPr>
                <w:rFonts w:hint="eastAsia"/>
                <w:lang w:eastAsia="zh-CN"/>
              </w:rPr>
            </w:pPr>
            <w:r>
              <w:drawing>
                <wp:anchor distT="0" distB="0" distL="114300" distR="114300" simplePos="0" relativeHeight="251665408" behindDoc="0" locked="0" layoutInCell="1" allowOverlap="1">
                  <wp:simplePos x="0" y="0"/>
                  <wp:positionH relativeFrom="column">
                    <wp:posOffset>5215255</wp:posOffset>
                  </wp:positionH>
                  <wp:positionV relativeFrom="paragraph">
                    <wp:posOffset>55245</wp:posOffset>
                  </wp:positionV>
                  <wp:extent cx="1678940" cy="2308860"/>
                  <wp:effectExtent l="0" t="0" r="10160" b="2540"/>
                  <wp:wrapNone/>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19"/>
                          <a:stretch>
                            <a:fillRect/>
                          </a:stretch>
                        </pic:blipFill>
                        <pic:spPr>
                          <a:xfrm>
                            <a:off x="0" y="0"/>
                            <a:ext cx="1678940" cy="2308860"/>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3409950</wp:posOffset>
                  </wp:positionH>
                  <wp:positionV relativeFrom="paragraph">
                    <wp:posOffset>53340</wp:posOffset>
                  </wp:positionV>
                  <wp:extent cx="1736725" cy="2336165"/>
                  <wp:effectExtent l="0" t="0" r="3175" b="635"/>
                  <wp:wrapNone/>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20"/>
                          <a:stretch>
                            <a:fillRect/>
                          </a:stretch>
                        </pic:blipFill>
                        <pic:spPr>
                          <a:xfrm>
                            <a:off x="0" y="0"/>
                            <a:ext cx="1736725" cy="2336165"/>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1676400</wp:posOffset>
                  </wp:positionH>
                  <wp:positionV relativeFrom="paragraph">
                    <wp:posOffset>46990</wp:posOffset>
                  </wp:positionV>
                  <wp:extent cx="1657985" cy="2352040"/>
                  <wp:effectExtent l="0" t="0" r="5715" b="10160"/>
                  <wp:wrapNone/>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21"/>
                          <a:stretch>
                            <a:fillRect/>
                          </a:stretch>
                        </pic:blipFill>
                        <pic:spPr>
                          <a:xfrm>
                            <a:off x="0" y="0"/>
                            <a:ext cx="1657985" cy="2352040"/>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-33655</wp:posOffset>
                  </wp:positionH>
                  <wp:positionV relativeFrom="paragraph">
                    <wp:posOffset>46990</wp:posOffset>
                  </wp:positionV>
                  <wp:extent cx="1670685" cy="2335530"/>
                  <wp:effectExtent l="0" t="0" r="5715" b="1270"/>
                  <wp:wrapNone/>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22"/>
                          <a:stretch>
                            <a:fillRect/>
                          </a:stretch>
                        </pic:blipFill>
                        <pic:spPr>
                          <a:xfrm>
                            <a:off x="0" y="0"/>
                            <a:ext cx="1670685" cy="2335530"/>
                          </a:xfrm>
                          <a:prstGeom prst="rect">
                            <a:avLst/>
                          </a:prstGeom>
                          <a:noFill/>
                          <a:ln>
                            <a:noFill/>
                          </a:ln>
                        </pic:spPr>
                      </pic:pic>
                    </a:graphicData>
                  </a:graphic>
                </wp:anchor>
              </w:drawing>
            </w:r>
          </w:p>
          <w:p>
            <w:pPr>
              <w:spacing w:line="360" w:lineRule="auto"/>
              <w:ind w:firstLine="420" w:firstLineChars="200"/>
              <w:rPr>
                <w:rFonts w:hint="eastAsia"/>
              </w:rPr>
            </w:pPr>
          </w:p>
          <w:p>
            <w:pPr>
              <w:spacing w:line="360" w:lineRule="auto"/>
              <w:ind w:firstLine="420" w:firstLineChars="200"/>
              <w:rPr>
                <w:rFonts w:hint="eastAsia"/>
              </w:rPr>
            </w:pPr>
          </w:p>
          <w:p>
            <w:pPr>
              <w:spacing w:line="360" w:lineRule="auto"/>
              <w:ind w:firstLine="420" w:firstLineChars="200"/>
              <w:rPr>
                <w:rFonts w:hint="eastAsia"/>
                <w:lang w:eastAsia="zh-CN"/>
              </w:rPr>
            </w:pPr>
          </w:p>
          <w:p>
            <w:pPr>
              <w:spacing w:line="360" w:lineRule="auto"/>
              <w:ind w:firstLine="420" w:firstLineChars="200"/>
              <w:rPr>
                <w:rFonts w:hint="eastAsia"/>
              </w:rPr>
            </w:pPr>
          </w:p>
          <w:p>
            <w:pPr>
              <w:spacing w:line="360" w:lineRule="auto"/>
              <w:ind w:firstLine="420" w:firstLineChars="200"/>
              <w:rPr>
                <w:rFonts w:hint="eastAsia"/>
              </w:rPr>
            </w:pPr>
          </w:p>
          <w:p>
            <w:pPr>
              <w:spacing w:line="360" w:lineRule="auto"/>
              <w:ind w:firstLine="420" w:firstLineChars="200"/>
              <w:rPr>
                <w:rFonts w:hint="eastAsia"/>
              </w:rPr>
            </w:pPr>
          </w:p>
          <w:p>
            <w:pPr>
              <w:spacing w:line="360" w:lineRule="auto"/>
              <w:ind w:firstLine="420" w:firstLineChars="200"/>
              <w:rPr>
                <w:rFonts w:hint="eastAsia"/>
              </w:rPr>
            </w:pPr>
          </w:p>
          <w:p>
            <w:pPr>
              <w:spacing w:line="360" w:lineRule="auto"/>
              <w:ind w:firstLine="420" w:firstLineChars="200"/>
              <w:rPr>
                <w:rFonts w:hint="eastAsia"/>
              </w:rPr>
            </w:pPr>
          </w:p>
          <w:p>
            <w:pPr>
              <w:spacing w:line="360" w:lineRule="auto"/>
              <w:ind w:firstLine="420" w:firstLineChars="200"/>
              <w:rPr>
                <w:rFonts w:hint="eastAsia"/>
              </w:rPr>
            </w:pPr>
            <w:r>
              <w:rPr>
                <w:rFonts w:hint="eastAsia"/>
                <w:lang w:eastAsia="zh-CN"/>
              </w:rPr>
              <w:drawing>
                <wp:anchor distT="0" distB="0" distL="114300" distR="114300" simplePos="0" relativeHeight="251666432" behindDoc="0" locked="0" layoutInCell="1" allowOverlap="1">
                  <wp:simplePos x="0" y="0"/>
                  <wp:positionH relativeFrom="column">
                    <wp:posOffset>3453130</wp:posOffset>
                  </wp:positionH>
                  <wp:positionV relativeFrom="paragraph">
                    <wp:posOffset>93980</wp:posOffset>
                  </wp:positionV>
                  <wp:extent cx="3379470" cy="2072005"/>
                  <wp:effectExtent l="0" t="0" r="11430" b="10795"/>
                  <wp:wrapNone/>
                  <wp:docPr id="53" name="图片 53" descr="247f783281f443869ad837d54c48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247f783281f443869ad837d54c4810a"/>
                          <pic:cNvPicPr>
                            <a:picLocks noChangeAspect="1"/>
                          </pic:cNvPicPr>
                        </pic:nvPicPr>
                        <pic:blipFill>
                          <a:blip r:embed="rId23"/>
                          <a:stretch>
                            <a:fillRect/>
                          </a:stretch>
                        </pic:blipFill>
                        <pic:spPr>
                          <a:xfrm>
                            <a:off x="0" y="0"/>
                            <a:ext cx="3379470" cy="2072005"/>
                          </a:xfrm>
                          <a:prstGeom prst="rect">
                            <a:avLst/>
                          </a:prstGeom>
                        </pic:spPr>
                      </pic:pic>
                    </a:graphicData>
                  </a:graphic>
                </wp:anchor>
              </w:drawing>
            </w:r>
            <w:r>
              <w:rPr>
                <w:rFonts w:hint="eastAsia"/>
                <w:lang w:eastAsia="zh-CN"/>
              </w:rPr>
              <w:drawing>
                <wp:anchor distT="0" distB="0" distL="114300" distR="114300" simplePos="0" relativeHeight="251664384" behindDoc="0" locked="0" layoutInCell="1" allowOverlap="1">
                  <wp:simplePos x="0" y="0"/>
                  <wp:positionH relativeFrom="column">
                    <wp:posOffset>513080</wp:posOffset>
                  </wp:positionH>
                  <wp:positionV relativeFrom="paragraph">
                    <wp:posOffset>-390525</wp:posOffset>
                  </wp:positionV>
                  <wp:extent cx="2218690" cy="3136900"/>
                  <wp:effectExtent l="0" t="0" r="0" b="3810"/>
                  <wp:wrapNone/>
                  <wp:docPr id="51" name="图片 51" descr="心内专委会签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心内专委会签到表"/>
                          <pic:cNvPicPr>
                            <a:picLocks noChangeAspect="1"/>
                          </pic:cNvPicPr>
                        </pic:nvPicPr>
                        <pic:blipFill>
                          <a:blip r:embed="rId24"/>
                          <a:stretch>
                            <a:fillRect/>
                          </a:stretch>
                        </pic:blipFill>
                        <pic:spPr>
                          <a:xfrm rot="5400000">
                            <a:off x="0" y="0"/>
                            <a:ext cx="2218690" cy="3136900"/>
                          </a:xfrm>
                          <a:prstGeom prst="rect">
                            <a:avLst/>
                          </a:prstGeom>
                        </pic:spPr>
                      </pic:pic>
                    </a:graphicData>
                  </a:graphic>
                </wp:anchor>
              </w:drawing>
            </w:r>
          </w:p>
          <w:p>
            <w:pPr>
              <w:spacing w:line="360" w:lineRule="auto"/>
              <w:ind w:firstLine="420" w:firstLineChars="200"/>
              <w:rPr>
                <w:rFonts w:hint="eastAsia"/>
              </w:rPr>
            </w:pPr>
          </w:p>
          <w:p>
            <w:pPr>
              <w:pStyle w:val="2"/>
              <w:rPr>
                <w:rFonts w:hint="eastAsia"/>
                <w:lang w:eastAsia="zh-CN"/>
              </w:rPr>
            </w:pPr>
          </w:p>
          <w:p>
            <w:pPr>
              <w:pStyle w:val="3"/>
              <w:rPr>
                <w:rFonts w:hint="eastAsia"/>
              </w:rPr>
            </w:pPr>
          </w:p>
          <w:p>
            <w:pPr>
              <w:pStyle w:val="3"/>
              <w:rPr>
                <w:rFonts w:hint="eastAsia"/>
              </w:rPr>
            </w:pPr>
          </w:p>
          <w:p>
            <w:pPr>
              <w:pStyle w:val="3"/>
              <w:rPr>
                <w:rFonts w:hint="eastAsia"/>
              </w:rPr>
            </w:pPr>
          </w:p>
          <w:p>
            <w:pPr>
              <w:pStyle w:val="3"/>
              <w:rPr>
                <w:rFonts w:hint="eastAsia"/>
              </w:rPr>
            </w:pPr>
          </w:p>
          <w:p>
            <w:pPr>
              <w:spacing w:line="360" w:lineRule="auto"/>
              <w:rPr>
                <w:rFonts w:hint="eastAsia"/>
                <w:lang w:val="en-US" w:eastAsia="zh-CN"/>
              </w:rPr>
            </w:pPr>
          </w:p>
          <w:p>
            <w:pPr>
              <w:pStyle w:val="4"/>
              <w:numPr>
                <w:ilvl w:val="0"/>
                <w:numId w:val="1"/>
              </w:numPr>
              <w:ind w:left="0" w:leftChars="0" w:firstLine="420" w:firstLineChars="200"/>
              <w:rPr>
                <w:rFonts w:hint="eastAsia"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抽查了麻醉科医师的执业证，能够满足要求。</w:t>
            </w:r>
          </w:p>
          <w:p>
            <w:pPr>
              <w:pStyle w:val="4"/>
              <w:widowControl w:val="0"/>
              <w:numPr>
                <w:ilvl w:val="0"/>
                <w:numId w:val="0"/>
              </w:numPr>
              <w:spacing w:after="120"/>
              <w:jc w:val="both"/>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eastAsia" w:cs="Times New Roman"/>
                <w:b/>
                <w:color w:val="000000" w:themeColor="text1"/>
                <w:kern w:val="2"/>
                <w:sz w:val="21"/>
                <w:szCs w:val="21"/>
                <w:lang w:val="en-US" w:eastAsia="zh-CN" w:bidi="ar-SA"/>
                <w14:textFill>
                  <w14:solidFill>
                    <w14:schemeClr w14:val="tx1"/>
                  </w14:solidFill>
                </w14:textFill>
              </w:rPr>
              <w:t xml:space="preserve">  </w:t>
            </w: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drawing>
                <wp:inline distT="0" distB="0" distL="114300" distR="114300">
                  <wp:extent cx="3131185" cy="2215515"/>
                  <wp:effectExtent l="0" t="0" r="5715" b="6985"/>
                  <wp:docPr id="40" name="图片 40" descr="麻醉科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麻醉科_05"/>
                          <pic:cNvPicPr>
                            <a:picLocks noChangeAspect="1"/>
                          </pic:cNvPicPr>
                        </pic:nvPicPr>
                        <pic:blipFill>
                          <a:blip r:embed="rId25"/>
                          <a:stretch>
                            <a:fillRect/>
                          </a:stretch>
                        </pic:blipFill>
                        <pic:spPr>
                          <a:xfrm>
                            <a:off x="0" y="0"/>
                            <a:ext cx="3131185" cy="2215515"/>
                          </a:xfrm>
                          <a:prstGeom prst="rect">
                            <a:avLst/>
                          </a:prstGeom>
                        </pic:spPr>
                      </pic:pic>
                    </a:graphicData>
                  </a:graphic>
                </wp:inline>
              </w:drawing>
            </w:r>
            <w:r>
              <w:rPr>
                <w:rFonts w:hint="eastAsia" w:cs="Times New Roman"/>
                <w:b/>
                <w:color w:val="000000" w:themeColor="text1"/>
                <w:kern w:val="2"/>
                <w:sz w:val="21"/>
                <w:szCs w:val="21"/>
                <w:lang w:val="en-US" w:eastAsia="zh-CN" w:bidi="ar-SA"/>
                <w14:textFill>
                  <w14:solidFill>
                    <w14:schemeClr w14:val="tx1"/>
                  </w14:solidFill>
                </w14:textFill>
              </w:rPr>
              <w:t xml:space="preserve"> </w:t>
            </w: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drawing>
                <wp:inline distT="0" distB="0" distL="114300" distR="114300">
                  <wp:extent cx="3086735" cy="2184400"/>
                  <wp:effectExtent l="0" t="0" r="12065" b="0"/>
                  <wp:docPr id="41" name="图片 41" descr="麻醉科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麻醉科_00"/>
                          <pic:cNvPicPr>
                            <a:picLocks noChangeAspect="1"/>
                          </pic:cNvPicPr>
                        </pic:nvPicPr>
                        <pic:blipFill>
                          <a:blip r:embed="rId26"/>
                          <a:stretch>
                            <a:fillRect/>
                          </a:stretch>
                        </pic:blipFill>
                        <pic:spPr>
                          <a:xfrm>
                            <a:off x="0" y="0"/>
                            <a:ext cx="3086735" cy="2184400"/>
                          </a:xfrm>
                          <a:prstGeom prst="rect">
                            <a:avLst/>
                          </a:prstGeom>
                        </pic:spPr>
                      </pic:pic>
                    </a:graphicData>
                  </a:graphic>
                </wp:inline>
              </w:drawing>
            </w:r>
          </w:p>
          <w:p>
            <w:pPr>
              <w:pStyle w:val="4"/>
              <w:widowControl w:val="0"/>
              <w:numPr>
                <w:ilvl w:val="0"/>
                <w:numId w:val="0"/>
              </w:numPr>
              <w:spacing w:after="120"/>
              <w:jc w:val="both"/>
              <w:rPr>
                <w:rFonts w:hint="default" w:cs="Times New Roman"/>
                <w:b/>
                <w:color w:val="000000" w:themeColor="text1"/>
                <w:kern w:val="2"/>
                <w:sz w:val="21"/>
                <w:szCs w:val="21"/>
                <w:lang w:val="en-US" w:eastAsia="zh-CN" w:bidi="ar-SA"/>
                <w14:textFill>
                  <w14:solidFill>
                    <w14:schemeClr w14:val="tx1"/>
                  </w14:solidFill>
                </w14:textFill>
              </w:rPr>
            </w:pPr>
            <w:r>
              <w:rPr>
                <w:rFonts w:hint="eastAsia" w:cs="Times New Roman"/>
                <w:b/>
                <w:color w:val="000000" w:themeColor="text1"/>
                <w:kern w:val="2"/>
                <w:sz w:val="21"/>
                <w:szCs w:val="21"/>
                <w:lang w:val="en-US" w:eastAsia="zh-CN" w:bidi="ar-SA"/>
                <w14:textFill>
                  <w14:solidFill>
                    <w14:schemeClr w14:val="tx1"/>
                  </w14:solidFill>
                </w14:textFill>
              </w:rPr>
              <w:t xml:space="preserve">  </w:t>
            </w:r>
            <w:r>
              <w:rPr>
                <w:rFonts w:hint="default" w:cs="Times New Roman"/>
                <w:b/>
                <w:color w:val="000000" w:themeColor="text1"/>
                <w:kern w:val="2"/>
                <w:sz w:val="21"/>
                <w:szCs w:val="21"/>
                <w:lang w:val="en-US" w:eastAsia="zh-CN" w:bidi="ar-SA"/>
                <w14:textFill>
                  <w14:solidFill>
                    <w14:schemeClr w14:val="tx1"/>
                  </w14:solidFill>
                </w14:textFill>
              </w:rPr>
              <w:drawing>
                <wp:inline distT="0" distB="0" distL="114300" distR="114300">
                  <wp:extent cx="3009900" cy="2564765"/>
                  <wp:effectExtent l="0" t="0" r="0" b="635"/>
                  <wp:docPr id="42" name="图片 42" descr="麻醉科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麻醉科_03"/>
                          <pic:cNvPicPr>
                            <a:picLocks noChangeAspect="1"/>
                          </pic:cNvPicPr>
                        </pic:nvPicPr>
                        <pic:blipFill>
                          <a:blip r:embed="rId27"/>
                          <a:srcRect t="19961" b="19744"/>
                          <a:stretch>
                            <a:fillRect/>
                          </a:stretch>
                        </pic:blipFill>
                        <pic:spPr>
                          <a:xfrm>
                            <a:off x="0" y="0"/>
                            <a:ext cx="3009900" cy="2564765"/>
                          </a:xfrm>
                          <a:prstGeom prst="rect">
                            <a:avLst/>
                          </a:prstGeom>
                        </pic:spPr>
                      </pic:pic>
                    </a:graphicData>
                  </a:graphic>
                </wp:inline>
              </w:drawing>
            </w:r>
            <w:r>
              <w:rPr>
                <w:rFonts w:hint="eastAsia" w:cs="Times New Roman"/>
                <w:b/>
                <w:color w:val="000000" w:themeColor="text1"/>
                <w:kern w:val="2"/>
                <w:sz w:val="21"/>
                <w:szCs w:val="21"/>
                <w:lang w:val="en-US" w:eastAsia="zh-CN" w:bidi="ar-SA"/>
                <w14:textFill>
                  <w14:solidFill>
                    <w14:schemeClr w14:val="tx1"/>
                  </w14:solidFill>
                </w14:textFill>
              </w:rPr>
              <w:t xml:space="preserve"> </w:t>
            </w:r>
            <w:r>
              <w:rPr>
                <w:rFonts w:hint="default" w:cs="Times New Roman"/>
                <w:b/>
                <w:color w:val="000000" w:themeColor="text1"/>
                <w:kern w:val="2"/>
                <w:sz w:val="21"/>
                <w:szCs w:val="21"/>
                <w:lang w:val="en-US" w:eastAsia="zh-CN" w:bidi="ar-SA"/>
                <w14:textFill>
                  <w14:solidFill>
                    <w14:schemeClr w14:val="tx1"/>
                  </w14:solidFill>
                </w14:textFill>
              </w:rPr>
              <w:drawing>
                <wp:inline distT="0" distB="0" distL="114300" distR="114300">
                  <wp:extent cx="3524250" cy="2493645"/>
                  <wp:effectExtent l="0" t="0" r="6350" b="8255"/>
                  <wp:docPr id="43" name="图片 43" descr="C:/Users/郭力/AppData/Local/Temp/picturecompress_2021091322283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郭力/AppData/Local/Temp/picturecompress_20210913222832/output_1.jpgoutput_1"/>
                          <pic:cNvPicPr>
                            <a:picLocks noChangeAspect="1"/>
                          </pic:cNvPicPr>
                        </pic:nvPicPr>
                        <pic:blipFill>
                          <a:blip r:embed="rId28"/>
                          <a:stretch>
                            <a:fillRect/>
                          </a:stretch>
                        </pic:blipFill>
                        <pic:spPr>
                          <a:xfrm>
                            <a:off x="0" y="0"/>
                            <a:ext cx="3524250" cy="2493645"/>
                          </a:xfrm>
                          <a:prstGeom prst="rect">
                            <a:avLst/>
                          </a:prstGeom>
                        </pic:spPr>
                      </pic:pic>
                    </a:graphicData>
                  </a:graphic>
                </wp:inline>
              </w:drawing>
            </w:r>
          </w:p>
          <w:p>
            <w:pPr>
              <w:pStyle w:val="4"/>
              <w:widowControl w:val="0"/>
              <w:numPr>
                <w:ilvl w:val="0"/>
                <w:numId w:val="0"/>
              </w:numPr>
              <w:spacing w:after="120"/>
              <w:jc w:val="both"/>
              <w:rPr>
                <w:rFonts w:hint="default" w:cs="Times New Roman"/>
                <w:b/>
                <w:color w:val="000000" w:themeColor="text1"/>
                <w:kern w:val="2"/>
                <w:sz w:val="21"/>
                <w:szCs w:val="21"/>
                <w:lang w:val="en-US" w:eastAsia="zh-CN" w:bidi="ar-SA"/>
                <w14:textFill>
                  <w14:solidFill>
                    <w14:schemeClr w14:val="tx1"/>
                  </w14:solidFill>
                </w14:textFill>
              </w:rPr>
            </w:pPr>
          </w:p>
        </w:tc>
        <w:tc>
          <w:tcPr>
            <w:tcW w:w="760" w:type="dxa"/>
          </w:tcPr>
          <w:p>
            <w:pPr>
              <w:spacing w:line="320" w:lineRule="exact"/>
              <w:rPr>
                <w:rFonts w:ascii="宋体" w:hAnsi="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6" w:hRule="atLeast"/>
        </w:trPr>
        <w:tc>
          <w:tcPr>
            <w:tcW w:w="1707" w:type="dxa"/>
          </w:tcPr>
          <w:p>
            <w:pPr>
              <w:spacing w:line="360" w:lineRule="auto"/>
              <w:rPr>
                <w:rFonts w:hint="eastAsia" w:cs="宋体" w:asciiTheme="minorEastAsia" w:hAnsiTheme="minorEastAsia" w:eastAsiaTheme="minorEastAsia"/>
                <w:bCs/>
                <w:sz w:val="21"/>
                <w:szCs w:val="21"/>
              </w:rPr>
            </w:pPr>
          </w:p>
          <w:p>
            <w:pPr>
              <w:spacing w:line="360" w:lineRule="auto"/>
              <w:rPr>
                <w:rFonts w:hint="eastAsia" w:cs="宋体" w:asciiTheme="minorEastAsia" w:hAnsiTheme="minorEastAsia" w:eastAsiaTheme="minorEastAsia"/>
                <w:bCs/>
                <w:sz w:val="21"/>
                <w:szCs w:val="21"/>
              </w:rPr>
            </w:pPr>
          </w:p>
          <w:p>
            <w:pPr>
              <w:spacing w:line="360" w:lineRule="auto"/>
              <w:rPr>
                <w:rFonts w:hint="eastAsia" w:cs="宋体" w:asciiTheme="minorEastAsia" w:hAnsiTheme="minorEastAsia" w:eastAsiaTheme="minorEastAsia"/>
                <w:bCs/>
                <w:sz w:val="21"/>
                <w:szCs w:val="21"/>
              </w:rPr>
            </w:pPr>
          </w:p>
          <w:p>
            <w:pPr>
              <w:spacing w:line="360" w:lineRule="auto"/>
              <w:rPr>
                <w:rFonts w:hint="eastAsia" w:cs="宋体" w:asciiTheme="minorEastAsia" w:hAnsiTheme="minorEastAsia" w:eastAsiaTheme="minorEastAsia"/>
                <w:bCs/>
                <w:sz w:val="21"/>
                <w:szCs w:val="21"/>
              </w:rPr>
            </w:pPr>
          </w:p>
          <w:p>
            <w:pPr>
              <w:spacing w:line="360" w:lineRule="auto"/>
              <w:rPr>
                <w:rFonts w:hint="eastAsia" w:cs="宋体" w:asciiTheme="minorEastAsia" w:hAnsiTheme="minorEastAsia" w:eastAsiaTheme="minorEastAsia"/>
                <w:bCs/>
                <w:sz w:val="21"/>
                <w:szCs w:val="21"/>
              </w:rPr>
            </w:pPr>
          </w:p>
          <w:p>
            <w:pPr>
              <w:spacing w:line="360" w:lineRule="auto"/>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运行的策划和控制</w:t>
            </w:r>
          </w:p>
          <w:p>
            <w:pPr>
              <w:spacing w:line="380" w:lineRule="exact"/>
              <w:rPr>
                <w:rFonts w:hint="default" w:ascii="宋体" w:hAnsi="宋体" w:eastAsia="宋体" w:cs="宋体"/>
                <w:color w:val="000000"/>
                <w:kern w:val="0"/>
                <w:szCs w:val="21"/>
                <w:lang w:val="en-US" w:eastAsia="zh-CN"/>
              </w:rPr>
            </w:pPr>
          </w:p>
        </w:tc>
        <w:tc>
          <w:tcPr>
            <w:tcW w:w="1070" w:type="dxa"/>
          </w:tcPr>
          <w:p>
            <w:pPr>
              <w:spacing w:line="380" w:lineRule="exact"/>
              <w:rPr>
                <w:rFonts w:hint="eastAsia"/>
                <w:bCs/>
                <w:szCs w:val="21"/>
              </w:rPr>
            </w:pPr>
          </w:p>
          <w:p>
            <w:pPr>
              <w:spacing w:line="380" w:lineRule="exact"/>
              <w:rPr>
                <w:rFonts w:hint="eastAsia"/>
                <w:bCs/>
                <w:szCs w:val="21"/>
              </w:rPr>
            </w:pPr>
          </w:p>
          <w:p>
            <w:pPr>
              <w:spacing w:line="380" w:lineRule="exact"/>
              <w:rPr>
                <w:rFonts w:hint="eastAsia"/>
                <w:bCs/>
                <w:szCs w:val="21"/>
              </w:rPr>
            </w:pPr>
          </w:p>
          <w:p>
            <w:pPr>
              <w:spacing w:line="380" w:lineRule="exact"/>
              <w:rPr>
                <w:rFonts w:hint="eastAsia"/>
                <w:bCs/>
                <w:szCs w:val="21"/>
              </w:rPr>
            </w:pPr>
          </w:p>
          <w:p>
            <w:pPr>
              <w:spacing w:line="380" w:lineRule="exact"/>
              <w:rPr>
                <w:rFonts w:hint="eastAsia"/>
                <w:bCs/>
                <w:szCs w:val="21"/>
              </w:rPr>
            </w:pPr>
          </w:p>
          <w:p>
            <w:pPr>
              <w:spacing w:line="380" w:lineRule="exact"/>
              <w:rPr>
                <w:rFonts w:hint="eastAsia"/>
                <w:bCs/>
                <w:szCs w:val="21"/>
              </w:rPr>
            </w:pPr>
          </w:p>
          <w:p>
            <w:pPr>
              <w:spacing w:line="380" w:lineRule="exact"/>
              <w:rPr>
                <w:rFonts w:ascii="宋体" w:hAnsi="宋体" w:cs="宋体"/>
                <w:szCs w:val="21"/>
              </w:rPr>
            </w:pPr>
            <w:r>
              <w:rPr>
                <w:rFonts w:hint="eastAsia"/>
                <w:bCs/>
                <w:szCs w:val="21"/>
              </w:rPr>
              <w:t>Q8.1</w:t>
            </w:r>
          </w:p>
        </w:tc>
        <w:tc>
          <w:tcPr>
            <w:tcW w:w="11172" w:type="dxa"/>
          </w:tcPr>
          <w:p>
            <w:pPr>
              <w:tabs>
                <w:tab w:val="left" w:pos="6597"/>
              </w:tabs>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组</w:t>
            </w:r>
            <w:r>
              <w:rPr>
                <w:rFonts w:hint="eastAsia" w:cs="Times New Roman" w:asciiTheme="minorEastAsia" w:hAnsiTheme="minorEastAsia" w:eastAsiaTheme="minorEastAsia"/>
                <w:sz w:val="21"/>
                <w:szCs w:val="21"/>
              </w:rPr>
              <w:t>织对</w:t>
            </w:r>
            <w:r>
              <w:rPr>
                <w:rFonts w:hint="eastAsia" w:cs="Times New Roman" w:asciiTheme="minorEastAsia" w:hAnsiTheme="minorEastAsia" w:eastAsiaTheme="minorEastAsia"/>
                <w:sz w:val="21"/>
                <w:szCs w:val="21"/>
                <w:lang w:eastAsia="zh-CN"/>
              </w:rPr>
              <w:t>麻醉科</w:t>
            </w:r>
            <w:r>
              <w:rPr>
                <w:rFonts w:hint="eastAsia" w:cs="Times New Roman" w:asciiTheme="minorEastAsia" w:hAnsiTheme="minorEastAsia" w:eastAsiaTheme="minorEastAsia"/>
                <w:sz w:val="21"/>
                <w:szCs w:val="21"/>
              </w:rPr>
              <w:t>的医疗服务进行了策划。</w:t>
            </w:r>
          </w:p>
          <w:p>
            <w:pPr>
              <w:tabs>
                <w:tab w:val="left" w:pos="6597"/>
              </w:tabs>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产品执行：GB 15982-2012医院消毒卫生标准、WS 694-2020新冠肺炎疫情期间医学观察和救治临时特殊场所卫生防护技术要求、WS/T 592-2018医院感染预防与控制评价规范、WS/T 698-2020新冠肺炎疫情期间重点场所和单位卫生防护指南、2003国务院令380号</w:t>
            </w:r>
            <w:r>
              <w:rPr>
                <w:rFonts w:hint="eastAsia"/>
                <w:sz w:val="20"/>
                <w:lang w:val="en-US" w:eastAsia="zh-CN"/>
              </w:rPr>
              <w:t>、</w:t>
            </w:r>
            <w:r>
              <w:rPr>
                <w:rFonts w:hint="eastAsia" w:ascii="Times New Roman" w:hAnsi="Times New Roman" w:cs="Times New Roman"/>
                <w:sz w:val="20"/>
                <w:lang w:val="en-US" w:eastAsia="zh-CN"/>
              </w:rPr>
              <w:t>HJ 421-2008医</w:t>
            </w:r>
            <w:r>
              <w:rPr>
                <w:rFonts w:hint="eastAsia"/>
                <w:sz w:val="20"/>
                <w:lang w:val="en-US" w:eastAsia="zh-CN"/>
              </w:rPr>
              <w:t>疗废物专用包装袋、容器和警示标志标准 、（2017）消毒管理办法、</w:t>
            </w:r>
            <w:r>
              <w:rPr>
                <w:rFonts w:hint="eastAsia" w:asciiTheme="minorEastAsia" w:hAnsiTheme="minorEastAsia" w:eastAsiaTheme="minorEastAsia"/>
                <w:sz w:val="21"/>
                <w:szCs w:val="21"/>
                <w:lang w:val="en-US" w:eastAsia="zh-CN"/>
              </w:rPr>
              <w:t>T/CHAS10-3-4-2019 《国家医院质量安全管理   第3-4部分 医疗保障 医疗设备》、 T/CHAS10-3-5-2019 《国家医院质量安全管理   第3-5部分 医疗保障 消毒供应》 、T/CHAS10-4-6-2019 《国家医院质量安全管理   第4-6部分 医疗管理  医疗安全（不良）事件管理》 、T/CHAS10-4-6-2019 《国家医院质量安全管理   第4-8部分 医疗管理  医院感染管理》等。</w:t>
            </w:r>
            <w:r>
              <w:rPr>
                <w:rFonts w:hint="eastAsia" w:asciiTheme="minorEastAsia" w:hAnsiTheme="minorEastAsia" w:eastAsiaTheme="minorEastAsia"/>
                <w:sz w:val="21"/>
                <w:szCs w:val="21"/>
              </w:rPr>
              <w:t>并作为</w:t>
            </w:r>
            <w:r>
              <w:rPr>
                <w:rFonts w:hint="eastAsia" w:asciiTheme="minorEastAsia" w:hAnsiTheme="minorEastAsia" w:eastAsiaTheme="minorEastAsia"/>
                <w:sz w:val="21"/>
                <w:szCs w:val="21"/>
                <w:lang w:val="en-US" w:eastAsia="zh-CN"/>
              </w:rPr>
              <w:t>医院</w:t>
            </w:r>
            <w:r>
              <w:rPr>
                <w:rFonts w:hint="eastAsia" w:asciiTheme="minorEastAsia" w:hAnsiTheme="minorEastAsia" w:eastAsiaTheme="minorEastAsia"/>
                <w:sz w:val="21"/>
                <w:szCs w:val="21"/>
              </w:rPr>
              <w:t>的质量目标和要求。</w:t>
            </w:r>
          </w:p>
          <w:p>
            <w:pPr>
              <w:tabs>
                <w:tab w:val="left" w:pos="6597"/>
              </w:tabs>
              <w:spacing w:line="360" w:lineRule="auto"/>
              <w:rPr>
                <w:rFonts w:hint="eastAsia" w:eastAsia="宋体" w:asciiTheme="minorEastAsia" w:hAnsiTheme="minorEastAsia"/>
                <w:sz w:val="21"/>
                <w:szCs w:val="21"/>
                <w:lang w:eastAsia="zh-CN"/>
              </w:rPr>
            </w:pPr>
            <w:r>
              <w:rPr>
                <w:rFonts w:hint="eastAsia" w:asciiTheme="minorEastAsia" w:hAnsiTheme="minorEastAsia" w:eastAsiaTheme="minorEastAsia"/>
                <w:sz w:val="21"/>
                <w:szCs w:val="21"/>
              </w:rPr>
              <w:t>制定的</w:t>
            </w:r>
            <w:r>
              <w:rPr>
                <w:rFonts w:hint="eastAsia" w:ascii="宋体" w:hAnsi="宋体"/>
                <w:szCs w:val="21"/>
              </w:rPr>
              <w:t>医疗服务流程：</w:t>
            </w:r>
            <w:r>
              <w:rPr>
                <w:rFonts w:hint="eastAsia" w:ascii="宋体" w:hAnsi="宋体"/>
                <w:szCs w:val="21"/>
                <w:lang w:val="en-US" w:eastAsia="zh-CN"/>
              </w:rPr>
              <w:t>确认麻醉剂量-实施麻醉-后续观察</w:t>
            </w:r>
            <w:r>
              <w:rPr>
                <w:rFonts w:hint="eastAsia" w:asciiTheme="minorEastAsia" w:hAnsiTheme="minorEastAsia" w:eastAsiaTheme="minorEastAsia"/>
                <w:sz w:val="21"/>
                <w:szCs w:val="21"/>
                <w:lang w:eastAsia="zh-CN"/>
              </w:rPr>
              <w:t>。</w:t>
            </w:r>
          </w:p>
          <w:p>
            <w:pPr>
              <w:tabs>
                <w:tab w:val="left" w:pos="6597"/>
              </w:tabs>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lang w:val="en-US" w:eastAsia="zh-CN"/>
              </w:rPr>
              <w:t>医院</w:t>
            </w:r>
            <w:r>
              <w:rPr>
                <w:rFonts w:hint="eastAsia" w:asciiTheme="minorEastAsia" w:hAnsiTheme="minorEastAsia" w:eastAsiaTheme="minorEastAsia"/>
                <w:sz w:val="21"/>
                <w:szCs w:val="21"/>
              </w:rPr>
              <w:t>为</w:t>
            </w:r>
            <w:r>
              <w:rPr>
                <w:rFonts w:hint="eastAsia" w:asciiTheme="minorEastAsia" w:hAnsiTheme="minorEastAsia" w:eastAsiaTheme="minorEastAsia"/>
                <w:sz w:val="21"/>
                <w:szCs w:val="21"/>
                <w:lang w:val="en-US" w:eastAsia="zh-CN"/>
              </w:rPr>
              <w:t>麻醉科日常医疗工作</w:t>
            </w:r>
            <w:r>
              <w:rPr>
                <w:rFonts w:hint="eastAsia" w:asciiTheme="minorEastAsia" w:hAnsiTheme="minorEastAsia" w:eastAsiaTheme="minorEastAsia"/>
                <w:sz w:val="21"/>
                <w:szCs w:val="21"/>
              </w:rPr>
              <w:t>提供了充足的资源，如：</w:t>
            </w:r>
            <w:r>
              <w:rPr>
                <w:rFonts w:hint="eastAsia" w:asciiTheme="minorEastAsia" w:hAnsiTheme="minorEastAsia" w:eastAsiaTheme="minorEastAsia"/>
                <w:sz w:val="21"/>
                <w:szCs w:val="21"/>
                <w:lang w:val="en-US" w:eastAsia="zh-CN"/>
              </w:rPr>
              <w:t>医务人员、护理人员、医疗</w:t>
            </w:r>
            <w:r>
              <w:rPr>
                <w:rFonts w:hint="eastAsia" w:asciiTheme="minorEastAsia" w:hAnsiTheme="minorEastAsia" w:eastAsiaTheme="minorEastAsia"/>
                <w:sz w:val="21"/>
                <w:szCs w:val="21"/>
              </w:rPr>
              <w:t>设备</w:t>
            </w:r>
            <w:r>
              <w:rPr>
                <w:rFonts w:hint="eastAsia" w:asciiTheme="minorEastAsia" w:hAnsiTheme="minorEastAsia" w:eastAsiaTheme="minorEastAsia"/>
                <w:sz w:val="21"/>
                <w:szCs w:val="21"/>
                <w:lang w:val="en-US" w:eastAsia="zh-CN"/>
              </w:rPr>
              <w:t>及配套科室</w:t>
            </w:r>
            <w:r>
              <w:rPr>
                <w:rFonts w:hint="eastAsia" w:asciiTheme="minorEastAsia" w:hAnsiTheme="minorEastAsia" w:eastAsiaTheme="minorEastAsia"/>
                <w:sz w:val="21"/>
                <w:szCs w:val="21"/>
              </w:rPr>
              <w:t>等。</w:t>
            </w:r>
          </w:p>
          <w:p>
            <w:pPr>
              <w:tabs>
                <w:tab w:val="left" w:pos="6597"/>
              </w:tabs>
              <w:spacing w:line="360" w:lineRule="auto"/>
              <w:ind w:firstLine="420" w:firstLineChars="200"/>
              <w:rPr>
                <w:rFonts w:hint="default" w:asciiTheme="minorEastAsia" w:hAnsiTheme="minorEastAsia" w:eastAsiaTheme="minorEastAsia"/>
                <w:color w:val="FF0000"/>
                <w:sz w:val="21"/>
                <w:szCs w:val="21"/>
                <w:lang w:val="en-US" w:eastAsia="zh-CN"/>
              </w:rPr>
            </w:pPr>
            <w:r>
              <w:rPr>
                <w:rFonts w:hint="eastAsia" w:asciiTheme="minorEastAsia" w:hAnsiTheme="minorEastAsia" w:eastAsiaTheme="minorEastAsia"/>
                <w:sz w:val="21"/>
                <w:szCs w:val="21"/>
                <w:lang w:val="en-US" w:eastAsia="zh-CN"/>
              </w:rPr>
              <w:t>利用医院信息系统（His）管理医院日常的接诊治病过程，医院信息系统（His）的组成主要由硬件系统和软件系统两大部分组成。在硬件方面，要有高性能的中心电子计算机或服务器、大容量的存储装置，遍布医院各部门的用户终端设备以及数据通信线路等，组成信息资源共享的计算机网络;在软件方面，需要具有面向多用户和多种功能的计算机软件系统，包括系统软件、应用软件和软件开发工具等，要有各种医院信息数据库及数据库管理系统，病人信息动态数据结构和数据快速，数据共享，病人的信息是以多种数据类型表达：文字与数据、图形、图表、影像等，实现医疗信息标准化。</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1707" w:type="dxa"/>
            <w:vAlign w:val="center"/>
          </w:tcPr>
          <w:p>
            <w:pPr>
              <w:spacing w:line="380" w:lineRule="exact"/>
              <w:ind w:firstLine="210" w:firstLineChars="100"/>
              <w:jc w:val="both"/>
              <w:rPr>
                <w:rFonts w:hint="default"/>
                <w:bCs/>
                <w:szCs w:val="21"/>
                <w:lang w:val="en-US" w:eastAsia="zh-CN"/>
              </w:rPr>
            </w:pPr>
            <w:r>
              <w:rPr>
                <w:rFonts w:hint="eastAsia"/>
                <w:bCs/>
                <w:szCs w:val="21"/>
                <w:lang w:val="en-US" w:eastAsia="zh-CN"/>
              </w:rPr>
              <w:t>设计开发</w:t>
            </w:r>
          </w:p>
        </w:tc>
        <w:tc>
          <w:tcPr>
            <w:tcW w:w="1070" w:type="dxa"/>
            <w:vAlign w:val="center"/>
          </w:tcPr>
          <w:p>
            <w:pPr>
              <w:spacing w:line="380" w:lineRule="exact"/>
              <w:jc w:val="center"/>
              <w:rPr>
                <w:rFonts w:hint="default" w:ascii="宋体" w:hAnsi="宋体" w:cs="宋体"/>
                <w:szCs w:val="21"/>
                <w:lang w:val="en-US" w:eastAsia="zh-CN"/>
              </w:rPr>
            </w:pPr>
            <w:r>
              <w:rPr>
                <w:rFonts w:hint="eastAsia" w:ascii="宋体" w:hAnsi="宋体" w:cs="宋体"/>
                <w:szCs w:val="21"/>
                <w:lang w:val="en-US" w:eastAsia="zh-CN"/>
              </w:rPr>
              <w:t>Q8.3</w:t>
            </w:r>
          </w:p>
        </w:tc>
        <w:tc>
          <w:tcPr>
            <w:tcW w:w="11172" w:type="dxa"/>
            <w:vAlign w:val="center"/>
          </w:tcPr>
          <w:p>
            <w:pPr>
              <w:pStyle w:val="13"/>
              <w:jc w:val="left"/>
              <w:rPr>
                <w:rFonts w:hint="default"/>
                <w:lang w:val="en-US" w:eastAsia="zh-CN"/>
              </w:rPr>
            </w:pPr>
            <w:r>
              <w:rPr>
                <w:rFonts w:hint="eastAsia"/>
                <w:lang w:val="en-US" w:eastAsia="zh-CN"/>
              </w:rPr>
              <w:t>麻醉科按照目前只按已定型的内容和模式进行医疗服务，不进行新式医疗服务类型的设计开发，Q8.3不涉及。</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1707" w:type="dxa"/>
            <w:vAlign w:val="top"/>
          </w:tcPr>
          <w:p>
            <w:pPr>
              <w:spacing w:line="380" w:lineRule="exact"/>
              <w:rPr>
                <w:rFonts w:hint="eastAsia"/>
                <w:lang w:val="en-US" w:eastAsia="zh-CN"/>
              </w:rPr>
            </w:pPr>
            <w:r>
              <w:rPr>
                <w:rFonts w:hint="eastAsia"/>
                <w:lang w:val="en-US" w:eastAsia="zh-CN"/>
              </w:rPr>
              <w:t>麻醉科服务及控制</w:t>
            </w:r>
          </w:p>
          <w:p>
            <w:pPr>
              <w:spacing w:line="380" w:lineRule="exact"/>
              <w:rPr>
                <w:rFonts w:hint="default" w:eastAsia="宋体"/>
                <w:lang w:val="en-US" w:eastAsia="zh-CN"/>
              </w:rPr>
            </w:pPr>
            <w:r>
              <w:rPr>
                <w:rFonts w:hint="eastAsia" w:eastAsia="宋体"/>
                <w:lang w:val="en-US" w:eastAsia="zh-CN"/>
              </w:rPr>
              <w:t>放行</w:t>
            </w:r>
          </w:p>
          <w:p>
            <w:pPr>
              <w:pStyle w:val="3"/>
              <w:rPr>
                <w:rFonts w:hint="eastAsia"/>
                <w:bCs/>
                <w:szCs w:val="21"/>
                <w:lang w:val="en-US" w:eastAsia="zh-CN"/>
              </w:rPr>
            </w:pPr>
          </w:p>
          <w:p>
            <w:pPr>
              <w:pStyle w:val="3"/>
              <w:rPr>
                <w:rFonts w:hint="eastAsia"/>
                <w:bCs/>
                <w:szCs w:val="21"/>
                <w:lang w:val="en-US" w:eastAsia="zh-CN"/>
              </w:rPr>
            </w:pPr>
          </w:p>
          <w:p>
            <w:pPr>
              <w:pStyle w:val="3"/>
              <w:ind w:left="480" w:leftChars="0"/>
              <w:rPr>
                <w:rFonts w:hint="default"/>
                <w:bCs/>
                <w:szCs w:val="21"/>
                <w:lang w:val="en-US" w:eastAsia="zh-CN"/>
              </w:rPr>
            </w:pPr>
          </w:p>
        </w:tc>
        <w:tc>
          <w:tcPr>
            <w:tcW w:w="1070" w:type="dxa"/>
            <w:vAlign w:val="top"/>
          </w:tcPr>
          <w:p>
            <w:pPr>
              <w:spacing w:line="380" w:lineRule="exact"/>
              <w:rPr>
                <w:rFonts w:hint="eastAsia"/>
                <w:lang w:val="en-US" w:eastAsia="zh-CN"/>
              </w:rPr>
            </w:pPr>
            <w:r>
              <w:rPr>
                <w:rFonts w:hint="eastAsia"/>
                <w:lang w:val="en-US" w:eastAsia="zh-CN"/>
              </w:rPr>
              <w:t>Q8.5.1</w:t>
            </w:r>
          </w:p>
          <w:p>
            <w:pPr>
              <w:pStyle w:val="4"/>
              <w:rPr>
                <w:rFonts w:hint="default" w:ascii="宋体" w:hAnsi="宋体" w:cs="宋体"/>
                <w:szCs w:val="21"/>
                <w:lang w:val="en-US" w:eastAsia="zh-CN"/>
              </w:rPr>
            </w:pPr>
            <w:r>
              <w:rPr>
                <w:rFonts w:hint="eastAsia" w:ascii="宋体" w:hAnsi="宋体" w:cs="宋体"/>
                <w:szCs w:val="21"/>
                <w:lang w:val="en-US" w:eastAsia="zh-CN"/>
              </w:rPr>
              <w:t>Q8.6</w:t>
            </w:r>
          </w:p>
        </w:tc>
        <w:tc>
          <w:tcPr>
            <w:tcW w:w="11172" w:type="dxa"/>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组织在手册中规定了</w:t>
            </w:r>
            <w:r>
              <w:rPr>
                <w:rFonts w:hint="eastAsia" w:ascii="宋体" w:hAnsi="宋体" w:cs="宋体"/>
                <w:sz w:val="21"/>
                <w:szCs w:val="21"/>
                <w:lang w:val="en-US" w:eastAsia="zh-CN"/>
              </w:rPr>
              <w:t>麻醉科医疗</w:t>
            </w:r>
            <w:r>
              <w:rPr>
                <w:rFonts w:hint="eastAsia" w:ascii="宋体" w:hAnsi="宋体" w:eastAsia="宋体" w:cs="宋体"/>
                <w:sz w:val="21"/>
                <w:szCs w:val="21"/>
                <w:lang w:val="en-US" w:eastAsia="zh-CN"/>
              </w:rPr>
              <w:t>服务的具体控制要求，</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符合标准要求。</w:t>
            </w:r>
          </w:p>
          <w:p>
            <w:pPr>
              <w:spacing w:line="360" w:lineRule="auto"/>
              <w:rPr>
                <w:rFonts w:hint="default" w:ascii="宋体" w:hAnsi="宋体" w:cs="宋体"/>
                <w:sz w:val="21"/>
                <w:szCs w:val="21"/>
                <w:lang w:val="en-US" w:eastAsia="zh-CN"/>
              </w:rPr>
            </w:pPr>
            <w:r>
              <w:rPr>
                <w:rFonts w:hint="eastAsia" w:cs="Times New Roman"/>
                <w:lang w:val="en-US" w:eastAsia="zh-CN"/>
              </w:rPr>
              <w:t>麻醉科主要有：</w:t>
            </w:r>
            <w:r>
              <w:rPr>
                <w:rFonts w:hint="eastAsia" w:eastAsia="宋体" w:cs="Times New Roman"/>
                <w:lang w:val="en-US" w:eastAsia="zh-CN"/>
              </w:rPr>
              <w:t>急救复苏、临床麻醉、疼痛治疗</w:t>
            </w:r>
            <w:r>
              <w:rPr>
                <w:rFonts w:hint="eastAsia" w:cs="Times New Roman"/>
                <w:lang w:val="en-US" w:eastAsia="zh-CN"/>
              </w:rPr>
              <w:t>。</w:t>
            </w:r>
          </w:p>
          <w:p>
            <w:pPr>
              <w:tabs>
                <w:tab w:val="left" w:pos="6597"/>
              </w:tabs>
              <w:spacing w:line="360" w:lineRule="auto"/>
              <w:rPr>
                <w:rFonts w:hint="eastAsia" w:eastAsia="宋体" w:asciiTheme="minorEastAsia" w:hAnsiTheme="minorEastAsia"/>
                <w:sz w:val="21"/>
                <w:szCs w:val="21"/>
                <w:lang w:eastAsia="zh-CN"/>
              </w:rPr>
            </w:pPr>
            <w:r>
              <w:rPr>
                <w:rFonts w:hint="eastAsia" w:ascii="宋体" w:hAnsi="宋体" w:cs="宋体"/>
                <w:sz w:val="21"/>
                <w:szCs w:val="21"/>
                <w:lang w:val="en-US" w:eastAsia="zh-CN"/>
              </w:rPr>
              <w:t>提供</w:t>
            </w:r>
            <w:r>
              <w:rPr>
                <w:rFonts w:hint="eastAsia" w:ascii="宋体" w:hAnsi="宋体"/>
                <w:szCs w:val="21"/>
              </w:rPr>
              <w:t>医疗服务流程：</w:t>
            </w:r>
            <w:r>
              <w:rPr>
                <w:rFonts w:hint="eastAsia" w:ascii="宋体" w:hAnsi="宋体"/>
                <w:szCs w:val="21"/>
                <w:lang w:val="en-US" w:eastAsia="zh-CN"/>
              </w:rPr>
              <w:t>确认麻醉剂量-实施麻醉-后续观察</w:t>
            </w:r>
            <w:r>
              <w:rPr>
                <w:rFonts w:hint="eastAsia" w:asciiTheme="minorEastAsia" w:hAnsiTheme="minorEastAsia" w:eastAsiaTheme="minorEastAsia"/>
                <w:sz w:val="21"/>
                <w:szCs w:val="21"/>
                <w:lang w:eastAsia="zh-CN"/>
              </w:rPr>
              <w:t>。</w:t>
            </w:r>
          </w:p>
          <w:p>
            <w:pPr>
              <w:pStyle w:val="13"/>
              <w:rPr>
                <w:rFonts w:hint="eastAsia" w:ascii="仿宋" w:hAnsi="仿宋" w:eastAsia="仿宋" w:cs="仿宋"/>
                <w:sz w:val="28"/>
                <w:szCs w:val="28"/>
                <w:lang w:val="en-US" w:eastAsia="zh-CN"/>
              </w:rPr>
            </w:pPr>
            <w:r>
              <w:rPr>
                <w:rFonts w:hint="eastAsia" w:ascii="宋体" w:hAnsi="宋体" w:cs="宋体"/>
                <w:sz w:val="21"/>
                <w:szCs w:val="21"/>
                <w:lang w:val="en-US" w:eastAsia="zh-CN"/>
              </w:rPr>
              <w:t>麻醉过程控制见外科、肿瘤科等科室的检查记录。</w:t>
            </w:r>
            <w:r>
              <w:rPr>
                <w:rFonts w:hint="eastAsia" w:asciiTheme="minorEastAsia" w:hAnsiTheme="minorEastAsia" w:eastAsiaTheme="minorEastAsia"/>
                <w:sz w:val="21"/>
                <w:szCs w:val="21"/>
                <w:lang w:val="en-US" w:eastAsia="zh-CN"/>
              </w:rPr>
              <w:t xml:space="preserve"> </w:t>
            </w:r>
            <w:bookmarkStart w:id="0" w:name="_GoBack"/>
            <w:bookmarkEnd w:id="0"/>
            <w:r>
              <w:rPr>
                <w:rFonts w:hint="eastAsia" w:asciiTheme="minorEastAsia" w:hAnsiTheme="minorEastAsia" w:eastAsiaTheme="minorEastAsia"/>
                <w:sz w:val="21"/>
                <w:szCs w:val="21"/>
                <w:lang w:val="en-US" w:eastAsia="zh-CN"/>
              </w:rPr>
              <w:t xml:space="preserve"> </w:t>
            </w:r>
            <w:r>
              <w:rPr>
                <w:rFonts w:hint="eastAsia" w:ascii="仿宋" w:hAnsi="仿宋" w:eastAsia="仿宋" w:cs="仿宋"/>
                <w:sz w:val="28"/>
                <w:szCs w:val="28"/>
                <w:lang w:val="en-US" w:eastAsia="zh-CN"/>
              </w:rPr>
              <w:t xml:space="preserve"> </w:t>
            </w:r>
          </w:p>
          <w:p>
            <w:pPr>
              <w:pStyle w:val="13"/>
              <w:rPr>
                <w:rFonts w:hint="default"/>
                <w:lang w:val="en-US" w:eastAsia="zh-CN"/>
              </w:rPr>
            </w:pPr>
            <w:r>
              <w:rPr>
                <w:rFonts w:hint="eastAsia" w:ascii="仿宋" w:hAnsi="仿宋" w:eastAsia="仿宋" w:cs="仿宋"/>
                <w:sz w:val="28"/>
                <w:szCs w:val="28"/>
                <w:lang w:val="en-US" w:eastAsia="zh-CN"/>
              </w:rPr>
              <w:t xml:space="preserve"> </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707" w:type="dxa"/>
          </w:tcPr>
          <w:p>
            <w:pPr>
              <w:spacing w:line="380" w:lineRule="exact"/>
              <w:rPr>
                <w:rFonts w:hint="eastAsia" w:eastAsia="宋体"/>
                <w:lang w:val="en-US" w:eastAsia="zh-CN"/>
              </w:rPr>
            </w:pPr>
            <w:r>
              <w:rPr>
                <w:rFonts w:hint="eastAsia"/>
              </w:rPr>
              <w:t>标识和可追溯性</w:t>
            </w:r>
            <w:r>
              <w:rPr>
                <w:rFonts w:hint="eastAsia"/>
                <w:lang w:val="en-US" w:eastAsia="zh-CN"/>
              </w:rPr>
              <w:t>/</w:t>
            </w:r>
          </w:p>
          <w:p>
            <w:pPr>
              <w:pStyle w:val="13"/>
            </w:pPr>
            <w:r>
              <w:rPr>
                <w:rFonts w:hint="eastAsia" w:ascii="宋体" w:hAnsi="宋体" w:cs="宋体"/>
                <w:color w:val="000000"/>
                <w:szCs w:val="21"/>
              </w:rPr>
              <w:t>顾客或外供方财产</w:t>
            </w:r>
          </w:p>
        </w:tc>
        <w:tc>
          <w:tcPr>
            <w:tcW w:w="1070" w:type="dxa"/>
          </w:tcPr>
          <w:p>
            <w:pPr>
              <w:spacing w:line="380" w:lineRule="exact"/>
              <w:rPr>
                <w:rFonts w:ascii="宋体" w:hAnsi="宋体" w:cs="宋体"/>
                <w:bCs/>
                <w:szCs w:val="21"/>
              </w:rPr>
            </w:pPr>
            <w:r>
              <w:rPr>
                <w:rFonts w:hint="eastAsia" w:ascii="宋体" w:hAnsi="宋体" w:cs="宋体"/>
                <w:bCs/>
                <w:szCs w:val="21"/>
              </w:rPr>
              <w:t>Q8.5.2</w:t>
            </w:r>
          </w:p>
          <w:p>
            <w:pPr>
              <w:spacing w:line="380" w:lineRule="exact"/>
              <w:rPr>
                <w:rFonts w:ascii="宋体" w:hAnsi="宋体" w:cs="宋体"/>
                <w:bCs/>
                <w:szCs w:val="21"/>
              </w:rPr>
            </w:pPr>
            <w:r>
              <w:rPr>
                <w:rFonts w:hint="eastAsia" w:ascii="宋体" w:hAnsi="宋体" w:cs="宋体"/>
                <w:szCs w:val="21"/>
                <w:lang w:val="en-US" w:eastAsia="zh-CN"/>
              </w:rPr>
              <w:t>/</w:t>
            </w:r>
            <w:r>
              <w:rPr>
                <w:rFonts w:hint="eastAsia" w:ascii="宋体" w:hAnsi="宋体" w:cs="宋体"/>
                <w:bCs/>
                <w:szCs w:val="21"/>
              </w:rPr>
              <w:t>Q8.5.4</w:t>
            </w:r>
          </w:p>
          <w:p>
            <w:pPr>
              <w:spacing w:line="380" w:lineRule="exact"/>
              <w:rPr>
                <w:rFonts w:hint="eastAsia" w:ascii="宋体" w:hAnsi="宋体" w:eastAsia="宋体" w:cs="宋体"/>
                <w:szCs w:val="21"/>
                <w:lang w:val="en-US" w:eastAsia="zh-CN"/>
              </w:rPr>
            </w:pPr>
          </w:p>
        </w:tc>
        <w:tc>
          <w:tcPr>
            <w:tcW w:w="11172" w:type="dxa"/>
          </w:tcPr>
          <w:p>
            <w:pPr>
              <w:rPr>
                <w:rFonts w:hint="default"/>
                <w:lang w:val="en-US" w:eastAsia="zh-CN"/>
              </w:rPr>
            </w:pPr>
            <w:r>
              <w:rPr>
                <w:rFonts w:hint="eastAsia"/>
                <w:lang w:val="en-US" w:eastAsia="zh-CN"/>
              </w:rPr>
              <w:t>麻醉科的</w:t>
            </w:r>
            <w:r>
              <w:rPr>
                <w:rFonts w:hint="eastAsia"/>
              </w:rPr>
              <w:t>标识</w:t>
            </w:r>
            <w:r>
              <w:rPr>
                <w:rFonts w:hint="eastAsia"/>
                <w:lang w:val="en-US" w:eastAsia="zh-CN"/>
              </w:rPr>
              <w:t>主要有以下：</w:t>
            </w:r>
          </w:p>
          <w:p>
            <w:pPr>
              <w:rPr>
                <w:rFonts w:hint="default"/>
                <w:lang w:val="en-US" w:eastAsia="zh-CN"/>
              </w:rPr>
            </w:pPr>
            <w:r>
              <w:rPr>
                <w:rFonts w:hint="eastAsia"/>
                <w:lang w:val="en-US" w:eastAsia="zh-CN"/>
              </w:rPr>
              <w:t>顾客信息、姓名、住址等，住院时以条型码形式进行标识。</w:t>
            </w:r>
          </w:p>
          <w:p>
            <w:r>
              <w:rPr>
                <w:rFonts w:hint="eastAsia"/>
                <w:lang w:val="en-US" w:eastAsia="zh-CN"/>
              </w:rPr>
              <w:t>医疗服务</w:t>
            </w:r>
            <w:r>
              <w:rPr>
                <w:rFonts w:hint="eastAsia"/>
              </w:rPr>
              <w:t>：</w:t>
            </w:r>
            <w:r>
              <w:rPr>
                <w:rFonts w:hint="eastAsia"/>
                <w:lang w:val="en-US" w:eastAsia="zh-CN"/>
              </w:rPr>
              <w:t>通过挂号</w:t>
            </w:r>
            <w:r>
              <w:rPr>
                <w:rFonts w:hint="eastAsia"/>
              </w:rPr>
              <w:t>以订单、生产批号为标识进行跟踪</w:t>
            </w:r>
          </w:p>
          <w:p>
            <w:r>
              <w:rPr>
                <w:rFonts w:hint="eastAsia"/>
              </w:rPr>
              <w:t>进货分</w:t>
            </w:r>
            <w:r>
              <w:rPr>
                <w:rFonts w:hint="eastAsia"/>
                <w:lang w:val="en-US" w:eastAsia="zh-CN"/>
              </w:rPr>
              <w:t>仓库</w:t>
            </w:r>
            <w:r>
              <w:rPr>
                <w:rFonts w:hint="eastAsia"/>
              </w:rPr>
              <w:t>，有</w:t>
            </w:r>
            <w:r>
              <w:rPr>
                <w:rFonts w:hint="eastAsia"/>
                <w:lang w:val="en-US" w:eastAsia="zh-CN"/>
              </w:rPr>
              <w:t>药房</w:t>
            </w:r>
            <w:r>
              <w:rPr>
                <w:rFonts w:hint="eastAsia"/>
              </w:rPr>
              <w:t>仓库</w:t>
            </w:r>
            <w:r>
              <w:rPr>
                <w:rFonts w:hint="eastAsia"/>
                <w:lang w:val="en-US" w:eastAsia="zh-CN"/>
              </w:rPr>
              <w:t>，</w:t>
            </w:r>
            <w:r>
              <w:rPr>
                <w:rFonts w:hint="eastAsia"/>
              </w:rPr>
              <w:t>按区域进行标识存放</w:t>
            </w:r>
          </w:p>
          <w:p>
            <w:pPr>
              <w:rPr>
                <w:rFonts w:hint="default"/>
                <w:lang w:val="en-US"/>
              </w:rPr>
            </w:pPr>
            <w:r>
              <w:rPr>
                <w:rFonts w:hint="eastAsia"/>
                <w:lang w:val="en-US" w:eastAsia="zh-CN"/>
              </w:rPr>
              <w:t>麻醉剂、毒品仓库隔离存放、专人保管</w:t>
            </w:r>
          </w:p>
          <w:p>
            <w:r>
              <w:rPr>
                <w:rFonts w:hint="eastAsia"/>
              </w:rPr>
              <w:t>可追溯性：当有</w:t>
            </w:r>
            <w:r>
              <w:rPr>
                <w:rFonts w:hint="eastAsia"/>
                <w:lang w:val="en-US" w:eastAsia="zh-CN"/>
              </w:rPr>
              <w:t>顾客查询</w:t>
            </w:r>
            <w:r>
              <w:rPr>
                <w:rFonts w:hint="eastAsia"/>
              </w:rPr>
              <w:t>追溯性要求时，通过</w:t>
            </w:r>
            <w:r>
              <w:rPr>
                <w:rFonts w:hint="eastAsia"/>
                <w:lang w:val="en-US" w:eastAsia="zh-CN"/>
              </w:rPr>
              <w:t>顾客信息的条形码</w:t>
            </w:r>
            <w:r>
              <w:rPr>
                <w:rFonts w:hint="eastAsia"/>
              </w:rPr>
              <w:t>的完成追溯</w:t>
            </w:r>
          </w:p>
          <w:p>
            <w:pPr>
              <w:rPr>
                <w:rFonts w:hint="eastAsia"/>
                <w:lang w:val="en-US" w:eastAsia="zh-CN"/>
              </w:rPr>
            </w:pPr>
            <w:r>
              <w:rPr>
                <w:rFonts w:hint="eastAsia"/>
                <w:lang w:val="en-US" w:eastAsia="zh-CN"/>
              </w:rPr>
              <w:t>医疗设备检定校准标识完整，状态清楚。</w:t>
            </w:r>
          </w:p>
          <w:p>
            <w:r>
              <w:rPr>
                <w:rFonts w:hint="eastAsia"/>
              </w:rPr>
              <w:t>现场查看各种记录齐全，符合标准要求</w:t>
            </w:r>
            <w:r>
              <w:rPr>
                <w:rFonts w:hint="eastAsia"/>
                <w:lang w:eastAsia="zh-CN"/>
              </w:rPr>
              <w:t>，</w:t>
            </w:r>
            <w:r>
              <w:rPr>
                <w:rFonts w:hint="eastAsia"/>
              </w:rPr>
              <w:t>查现场各类标识，做到清楚、合理，符合要求。</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707" w:type="dxa"/>
          </w:tcPr>
          <w:p>
            <w:pPr>
              <w:spacing w:line="380" w:lineRule="exact"/>
              <w:rPr>
                <w:rFonts w:ascii="宋体" w:hAnsi="宋体" w:cs="宋体"/>
                <w:bCs/>
                <w:szCs w:val="21"/>
              </w:rPr>
            </w:pPr>
            <w:r>
              <w:rPr>
                <w:rFonts w:hint="eastAsia" w:ascii="宋体" w:hAnsi="宋体" w:cs="宋体"/>
                <w:color w:val="000000"/>
                <w:szCs w:val="21"/>
              </w:rPr>
              <w:t>顾客或外供方财产</w:t>
            </w:r>
          </w:p>
        </w:tc>
        <w:tc>
          <w:tcPr>
            <w:tcW w:w="1070" w:type="dxa"/>
          </w:tcPr>
          <w:p>
            <w:pPr>
              <w:spacing w:line="380" w:lineRule="exact"/>
              <w:rPr>
                <w:rFonts w:ascii="宋体" w:hAnsi="宋体" w:cs="宋体"/>
                <w:color w:val="000000"/>
                <w:szCs w:val="21"/>
              </w:rPr>
            </w:pPr>
            <w:r>
              <w:rPr>
                <w:rFonts w:hint="eastAsia" w:ascii="宋体" w:hAnsi="宋体" w:cs="宋体"/>
                <w:color w:val="000000"/>
                <w:szCs w:val="21"/>
              </w:rPr>
              <w:t>Q8.5.3</w:t>
            </w:r>
          </w:p>
          <w:p>
            <w:pPr>
              <w:spacing w:line="380" w:lineRule="exact"/>
              <w:rPr>
                <w:rFonts w:ascii="宋体" w:hAnsi="宋体" w:cs="宋体"/>
                <w:szCs w:val="21"/>
              </w:rPr>
            </w:pPr>
          </w:p>
        </w:tc>
        <w:tc>
          <w:tcPr>
            <w:tcW w:w="11172" w:type="dxa"/>
          </w:tcPr>
          <w:p>
            <w:pPr>
              <w:rPr>
                <w:szCs w:val="21"/>
                <w:lang w:val="en-GB"/>
              </w:rPr>
            </w:pPr>
            <w:r>
              <w:rPr>
                <w:rFonts w:hint="eastAsia"/>
                <w:szCs w:val="21"/>
                <w:lang w:val="en-GB"/>
              </w:rPr>
              <w:t>公司在</w:t>
            </w:r>
            <w:r>
              <w:rPr>
                <w:rFonts w:hint="eastAsia"/>
                <w:szCs w:val="21"/>
                <w:lang w:val="en-US" w:eastAsia="zh-CN"/>
              </w:rPr>
              <w:t>医疗</w:t>
            </w:r>
            <w:r>
              <w:rPr>
                <w:rFonts w:hint="eastAsia"/>
                <w:szCs w:val="21"/>
                <w:lang w:val="en-GB"/>
              </w:rPr>
              <w:t>服务过程中涉及顾客提供的</w:t>
            </w:r>
            <w:r>
              <w:rPr>
                <w:rFonts w:hint="eastAsia"/>
                <w:szCs w:val="21"/>
                <w:lang w:val="en-US" w:eastAsia="zh-CN"/>
              </w:rPr>
              <w:t>顾客信息</w:t>
            </w:r>
            <w:r>
              <w:rPr>
                <w:rFonts w:hint="eastAsia"/>
                <w:szCs w:val="21"/>
                <w:lang w:val="en-GB"/>
              </w:rPr>
              <w:t>、知识产权。顾客的个人信息，公司将其作为商业秘密，做到不外泄，经询问，无顾客的个人信息丢失和泄漏情况发生</w:t>
            </w:r>
          </w:p>
          <w:p>
            <w:pPr>
              <w:rPr>
                <w:szCs w:val="21"/>
                <w:lang w:val="en-GB"/>
              </w:rPr>
            </w:pPr>
            <w:r>
              <w:rPr>
                <w:rFonts w:hint="eastAsia"/>
                <w:szCs w:val="21"/>
                <w:lang w:val="en-GB"/>
              </w:rPr>
              <w:t>公司对顾客的私人信息或有关技术要求均通过专用硬盘区域和配置的专用档案柜予以保存，确保了顾客信息的丢失和泄漏。</w:t>
            </w:r>
          </w:p>
          <w:p>
            <w:pPr>
              <w:spacing w:line="380" w:lineRule="exact"/>
              <w:ind w:firstLine="420" w:firstLineChars="200"/>
              <w:rPr>
                <w:rFonts w:ascii="宋体" w:hAnsi="宋体" w:cs="宋体"/>
                <w:szCs w:val="21"/>
              </w:rPr>
            </w:pPr>
            <w:r>
              <w:rPr>
                <w:rFonts w:hint="eastAsia"/>
                <w:szCs w:val="21"/>
                <w:lang w:val="en-GB"/>
              </w:rPr>
              <w:t>目前公司无实物顾客或外部供方财产。</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707" w:type="dxa"/>
          </w:tcPr>
          <w:p>
            <w:pPr>
              <w:spacing w:line="380" w:lineRule="exact"/>
              <w:rPr>
                <w:rFonts w:ascii="宋体" w:hAnsi="宋体" w:cs="宋体"/>
                <w:szCs w:val="21"/>
              </w:rPr>
            </w:pPr>
            <w:r>
              <w:rPr>
                <w:rFonts w:hint="eastAsia"/>
                <w:bCs/>
                <w:szCs w:val="21"/>
              </w:rPr>
              <w:t>变更控制</w:t>
            </w:r>
          </w:p>
        </w:tc>
        <w:tc>
          <w:tcPr>
            <w:tcW w:w="1070" w:type="dxa"/>
          </w:tcPr>
          <w:p>
            <w:pPr>
              <w:spacing w:line="380" w:lineRule="exact"/>
              <w:rPr>
                <w:rFonts w:ascii="宋体" w:hAnsi="宋体" w:cs="宋体"/>
                <w:bCs/>
                <w:szCs w:val="21"/>
              </w:rPr>
            </w:pPr>
            <w:r>
              <w:rPr>
                <w:rFonts w:hint="eastAsia" w:ascii="宋体" w:hAnsi="宋体" w:cs="宋体"/>
                <w:bCs/>
                <w:szCs w:val="21"/>
              </w:rPr>
              <w:t>Q8.5.6</w:t>
            </w:r>
          </w:p>
          <w:p>
            <w:pPr>
              <w:spacing w:line="380" w:lineRule="exact"/>
              <w:rPr>
                <w:rFonts w:ascii="宋体" w:hAnsi="宋体" w:cs="宋体"/>
                <w:szCs w:val="21"/>
              </w:rPr>
            </w:pPr>
          </w:p>
        </w:tc>
        <w:tc>
          <w:tcPr>
            <w:tcW w:w="11172" w:type="dxa"/>
          </w:tcPr>
          <w:p>
            <w:pPr>
              <w:spacing w:line="380" w:lineRule="exact"/>
              <w:rPr>
                <w:rFonts w:ascii="宋体" w:hAnsi="宋体" w:cs="宋体"/>
                <w:szCs w:val="21"/>
              </w:rPr>
            </w:pPr>
            <w:r>
              <w:rPr>
                <w:rFonts w:hint="eastAsia" w:ascii="宋体" w:hAnsi="宋体" w:cs="宋体"/>
                <w:szCs w:val="21"/>
              </w:rPr>
              <w:t>对于</w:t>
            </w:r>
            <w:r>
              <w:rPr>
                <w:rFonts w:hint="eastAsia" w:ascii="宋体" w:hAnsi="宋体" w:cs="宋体"/>
                <w:szCs w:val="21"/>
                <w:lang w:val="en-US" w:eastAsia="zh-CN"/>
              </w:rPr>
              <w:t>医疗服务</w:t>
            </w:r>
            <w:r>
              <w:rPr>
                <w:rFonts w:hint="eastAsia" w:ascii="宋体" w:hAnsi="宋体" w:cs="宋体"/>
                <w:szCs w:val="21"/>
              </w:rPr>
              <w:t>过程的更改，我院住院病人都是短时间，一天二天，没有特危重病人，随着病情变化医生下达医嘱护士执行。</w:t>
            </w:r>
          </w:p>
          <w:p>
            <w:pPr>
              <w:spacing w:line="380" w:lineRule="exact"/>
              <w:rPr>
                <w:rFonts w:ascii="宋体" w:hAnsi="宋体" w:cs="宋体"/>
                <w:szCs w:val="21"/>
              </w:rPr>
            </w:pPr>
            <w:r>
              <w:rPr>
                <w:rFonts w:hint="eastAsia" w:ascii="宋体" w:hAnsi="宋体" w:cs="宋体"/>
                <w:szCs w:val="21"/>
              </w:rPr>
              <w:t>目前</w:t>
            </w:r>
            <w:r>
              <w:rPr>
                <w:rFonts w:hint="eastAsia" w:ascii="宋体" w:hAnsi="宋体" w:cs="宋体"/>
                <w:szCs w:val="21"/>
                <w:lang w:val="en-US" w:eastAsia="zh-CN"/>
              </w:rPr>
              <w:t>未出现医疗服务</w:t>
            </w:r>
            <w:r>
              <w:rPr>
                <w:rFonts w:hint="eastAsia" w:ascii="宋体" w:hAnsi="宋体" w:cs="宋体"/>
                <w:szCs w:val="21"/>
              </w:rPr>
              <w:t>过程的更改。</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707" w:type="dxa"/>
          </w:tcPr>
          <w:p>
            <w:pPr>
              <w:spacing w:line="360" w:lineRule="auto"/>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环境因素</w:t>
            </w:r>
          </w:p>
          <w:p>
            <w:pPr>
              <w:spacing w:line="360" w:lineRule="auto"/>
              <w:rPr>
                <w:rFonts w:hint="eastAsia" w:cs="宋体" w:asciiTheme="minorEastAsia" w:hAnsiTheme="minorEastAsia" w:eastAsiaTheme="minorEastAsia"/>
                <w:sz w:val="21"/>
                <w:szCs w:val="21"/>
              </w:rPr>
            </w:pPr>
          </w:p>
        </w:tc>
        <w:tc>
          <w:tcPr>
            <w:tcW w:w="1070" w:type="dxa"/>
          </w:tcPr>
          <w:p>
            <w:pPr>
              <w:spacing w:line="360" w:lineRule="auto"/>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E6.1.2</w:t>
            </w:r>
          </w:p>
          <w:p>
            <w:pPr>
              <w:spacing w:line="360" w:lineRule="auto"/>
              <w:rPr>
                <w:rFonts w:hint="eastAsia" w:cs="宋体" w:asciiTheme="minorEastAsia" w:hAnsiTheme="minorEastAsia" w:eastAsiaTheme="minorEastAsia"/>
                <w:sz w:val="21"/>
                <w:szCs w:val="21"/>
              </w:rPr>
            </w:pPr>
          </w:p>
        </w:tc>
        <w:tc>
          <w:tcPr>
            <w:tcW w:w="11172" w:type="dxa"/>
          </w:tcPr>
          <w:p>
            <w:pPr>
              <w:spacing w:line="360" w:lineRule="auto"/>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提供了《环境因素辨别和评价控制程序》，对环境因素、评价结果、控制手段等做出了规定。</w:t>
            </w:r>
          </w:p>
          <w:p>
            <w:pPr>
              <w:spacing w:line="360" w:lineRule="auto"/>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lang w:val="en-US" w:eastAsia="zh-CN"/>
              </w:rPr>
              <w:t>麻醉科</w:t>
            </w:r>
            <w:r>
              <w:rPr>
                <w:rFonts w:hint="eastAsia" w:cs="宋体" w:asciiTheme="minorEastAsia" w:hAnsiTheme="minorEastAsia" w:eastAsiaTheme="minorEastAsia"/>
                <w:sz w:val="21"/>
                <w:szCs w:val="21"/>
              </w:rPr>
              <w:t>负责人介绍了对环境因素、危险源进行了辨识，考虑了三种时态，过去、现在和将来，三种状态，正常、异常和紧急，按照办公区域及</w:t>
            </w:r>
            <w:r>
              <w:rPr>
                <w:rFonts w:hint="eastAsia" w:cs="宋体" w:asciiTheme="minorEastAsia" w:hAnsiTheme="minorEastAsia" w:eastAsiaTheme="minorEastAsia"/>
                <w:sz w:val="21"/>
                <w:szCs w:val="21"/>
                <w:lang w:val="en-US" w:eastAsia="zh-CN"/>
              </w:rPr>
              <w:t>医护</w:t>
            </w:r>
            <w:r>
              <w:rPr>
                <w:rFonts w:hint="eastAsia" w:cs="宋体" w:asciiTheme="minorEastAsia" w:hAnsiTheme="minorEastAsia" w:eastAsiaTheme="minorEastAsia"/>
                <w:sz w:val="21"/>
                <w:szCs w:val="21"/>
              </w:rPr>
              <w:t>过程等进行了辨识。</w:t>
            </w:r>
          </w:p>
          <w:p>
            <w:pPr>
              <w:spacing w:line="360" w:lineRule="auto"/>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查《环境因素识别评价表》，对</w:t>
            </w:r>
            <w:r>
              <w:rPr>
                <w:rFonts w:hint="eastAsia" w:cs="宋体" w:asciiTheme="minorEastAsia" w:hAnsiTheme="minorEastAsia" w:eastAsiaTheme="minorEastAsia"/>
                <w:sz w:val="21"/>
                <w:szCs w:val="21"/>
                <w:lang w:val="en-US" w:eastAsia="zh-CN"/>
              </w:rPr>
              <w:t>麻醉科</w:t>
            </w:r>
            <w:r>
              <w:rPr>
                <w:rFonts w:hint="eastAsia" w:cs="宋体" w:asciiTheme="minorEastAsia" w:hAnsiTheme="minorEastAsia" w:eastAsiaTheme="minorEastAsia"/>
                <w:sz w:val="21"/>
                <w:szCs w:val="21"/>
              </w:rPr>
              <w:t>办公区域及</w:t>
            </w:r>
            <w:r>
              <w:rPr>
                <w:rFonts w:hint="eastAsia" w:cs="宋体" w:asciiTheme="minorEastAsia" w:hAnsiTheme="minorEastAsia" w:eastAsiaTheme="minorEastAsia"/>
                <w:sz w:val="21"/>
                <w:szCs w:val="21"/>
                <w:lang w:val="en-US" w:eastAsia="zh-CN"/>
              </w:rPr>
              <w:t>医护</w:t>
            </w:r>
            <w:r>
              <w:rPr>
                <w:rFonts w:hint="eastAsia" w:cs="宋体" w:asciiTheme="minorEastAsia" w:hAnsiTheme="minorEastAsia" w:eastAsiaTheme="minorEastAsia"/>
                <w:sz w:val="21"/>
                <w:szCs w:val="21"/>
              </w:rPr>
              <w:t>过程的环境因素。分别识别了日常办公过程中的固废（废电池、灯管、墨盒、笔）造成的地面污染、水资源利用（拖地、厕所用水）的水资源消耗、照明、空调、办公设施等电能消耗、意外火灾引起的污染大气、污染地面、资源消耗、</w:t>
            </w:r>
          </w:p>
          <w:p>
            <w:pPr>
              <w:spacing w:line="360" w:lineRule="auto"/>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lang w:val="en-US" w:eastAsia="zh-CN"/>
              </w:rPr>
              <w:t>医护</w:t>
            </w:r>
            <w:r>
              <w:rPr>
                <w:rFonts w:hint="eastAsia" w:cs="宋体" w:asciiTheme="minorEastAsia" w:hAnsiTheme="minorEastAsia" w:eastAsiaTheme="minorEastAsia"/>
                <w:sz w:val="21"/>
                <w:szCs w:val="21"/>
              </w:rPr>
              <w:t>过程医疗废弃物</w:t>
            </w:r>
            <w:r>
              <w:rPr>
                <w:rFonts w:hint="eastAsia" w:cs="宋体" w:asciiTheme="minorEastAsia" w:hAnsiTheme="minorEastAsia" w:eastAsiaTheme="minorEastAsia"/>
                <w:sz w:val="21"/>
                <w:szCs w:val="21"/>
                <w:lang w:eastAsia="zh-CN"/>
              </w:rPr>
              <w:t>（</w:t>
            </w:r>
            <w:r>
              <w:rPr>
                <w:rFonts w:hint="eastAsia" w:cs="宋体" w:asciiTheme="minorEastAsia" w:hAnsiTheme="minorEastAsia" w:eastAsiaTheme="minorEastAsia"/>
                <w:sz w:val="21"/>
                <w:szCs w:val="21"/>
              </w:rPr>
              <w:t>医用手套、胶纸胶布、胶带、棉签、棉球</w:t>
            </w:r>
            <w:r>
              <w:rPr>
                <w:rFonts w:hint="eastAsia" w:cs="宋体" w:asciiTheme="minorEastAsia" w:hAnsiTheme="minorEastAsia" w:eastAsiaTheme="minorEastAsia"/>
                <w:sz w:val="21"/>
                <w:szCs w:val="21"/>
                <w:lang w:eastAsia="zh-CN"/>
              </w:rPr>
              <w:t>、</w:t>
            </w:r>
            <w:r>
              <w:rPr>
                <w:rFonts w:hint="eastAsia" w:ascii="宋体" w:hAnsi="宋体" w:eastAsia="宋体" w:cs="宋体"/>
                <w:i w:val="0"/>
                <w:iCs w:val="0"/>
                <w:color w:val="000000"/>
                <w:kern w:val="0"/>
                <w:sz w:val="20"/>
                <w:szCs w:val="20"/>
                <w:u w:val="none"/>
                <w:lang w:val="en-US" w:eastAsia="zh-CN" w:bidi="ar"/>
              </w:rPr>
              <w:t>废弃的口罩</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病原体废气</w:t>
            </w:r>
            <w:r>
              <w:rPr>
                <w:rFonts w:hint="eastAsia" w:cs="宋体" w:asciiTheme="minorEastAsia" w:hAnsiTheme="minorEastAsia" w:eastAsiaTheme="minorEastAsia"/>
                <w:sz w:val="21"/>
                <w:szCs w:val="21"/>
                <w:lang w:eastAsia="zh-CN"/>
              </w:rPr>
              <w:t>）</w:t>
            </w:r>
            <w:r>
              <w:rPr>
                <w:rFonts w:hint="eastAsia" w:cs="宋体" w:asciiTheme="minorEastAsia" w:hAnsiTheme="minorEastAsia" w:eastAsiaTheme="minorEastAsia"/>
                <w:sz w:val="21"/>
                <w:szCs w:val="21"/>
              </w:rPr>
              <w:t>固废、噪声排放、火灾、电能消耗、噪声超标）、设备维修（废弃丢弃、漏油、更换新部件）等环境因素。</w:t>
            </w:r>
          </w:p>
          <w:p>
            <w:pPr>
              <w:spacing w:line="360" w:lineRule="auto"/>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查到：《重要环境因素登记表》，公司涉及重要环境因素：医疗废水的排放、固体废弃物的排放、废气的排放、危险化学品排放、潜在火灾等，本</w:t>
            </w:r>
            <w:r>
              <w:rPr>
                <w:rFonts w:hint="eastAsia" w:cs="宋体" w:asciiTheme="minorEastAsia" w:hAnsiTheme="minorEastAsia" w:eastAsiaTheme="minorEastAsia"/>
                <w:sz w:val="21"/>
                <w:szCs w:val="21"/>
                <w:lang w:val="en-US" w:eastAsia="zh-CN"/>
              </w:rPr>
              <w:t>科室</w:t>
            </w:r>
            <w:r>
              <w:rPr>
                <w:rFonts w:hint="eastAsia" w:cs="宋体" w:asciiTheme="minorEastAsia" w:hAnsiTheme="minorEastAsia" w:eastAsiaTheme="minorEastAsia"/>
                <w:sz w:val="21"/>
                <w:szCs w:val="21"/>
              </w:rPr>
              <w:t>涉及的重要环境因素：均有涉及。</w:t>
            </w:r>
          </w:p>
          <w:p>
            <w:pPr>
              <w:spacing w:line="360" w:lineRule="auto"/>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lang w:eastAsia="zh-TW"/>
              </w:rPr>
              <w:t>对于</w:t>
            </w:r>
            <w:r>
              <w:rPr>
                <w:rFonts w:hint="eastAsia" w:cs="宋体" w:asciiTheme="minorEastAsia" w:hAnsiTheme="minorEastAsia" w:eastAsiaTheme="minorEastAsia"/>
                <w:sz w:val="21"/>
                <w:szCs w:val="21"/>
              </w:rPr>
              <w:t>环境因素、重要环境因素通过运行控制、管理方案、应急准备与响应进行控制。</w:t>
            </w:r>
          </w:p>
          <w:p>
            <w:pPr>
              <w:spacing w:line="380" w:lineRule="exact"/>
              <w:rPr>
                <w:rFonts w:hint="eastAsia" w:ascii="宋体" w:hAnsi="宋体" w:eastAsia="宋体" w:cs="宋体"/>
                <w:color w:val="FF0000"/>
                <w:szCs w:val="21"/>
                <w:lang w:val="en-US" w:eastAsia="zh-CN"/>
              </w:rPr>
            </w:pPr>
            <w:r>
              <w:rPr>
                <w:rFonts w:hint="eastAsia" w:cs="宋体" w:asciiTheme="minorEastAsia" w:hAnsiTheme="minorEastAsia" w:eastAsiaTheme="minorEastAsia"/>
                <w:sz w:val="21"/>
                <w:szCs w:val="21"/>
                <w:lang w:val="en-US" w:eastAsia="zh-CN"/>
              </w:rPr>
              <w:t>麻醉科</w:t>
            </w:r>
            <w:r>
              <w:rPr>
                <w:rFonts w:hint="eastAsia" w:cs="宋体" w:asciiTheme="minorEastAsia" w:hAnsiTheme="minorEastAsia" w:eastAsiaTheme="minorEastAsia"/>
                <w:sz w:val="21"/>
                <w:szCs w:val="21"/>
              </w:rPr>
              <w:t>环境因素、评价基本符合标准要求。</w:t>
            </w:r>
          </w:p>
        </w:tc>
        <w:tc>
          <w:tcPr>
            <w:tcW w:w="760" w:type="dxa"/>
          </w:tcPr>
          <w:p>
            <w:pPr>
              <w:spacing w:line="320" w:lineRule="exact"/>
              <w:rPr>
                <w:rFonts w:ascii="宋体" w:hAnsi="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707" w:type="dxa"/>
          </w:tcPr>
          <w:p>
            <w:pPr>
              <w:spacing w:line="380" w:lineRule="exact"/>
              <w:rPr>
                <w:rFonts w:ascii="宋体" w:hAnsi="宋体" w:cs="宋体"/>
                <w:szCs w:val="21"/>
              </w:rPr>
            </w:pPr>
            <w:r>
              <w:rPr>
                <w:rFonts w:hint="eastAsia"/>
                <w:bCs/>
                <w:szCs w:val="21"/>
              </w:rPr>
              <w:t>运行控制</w:t>
            </w:r>
          </w:p>
        </w:tc>
        <w:tc>
          <w:tcPr>
            <w:tcW w:w="1070" w:type="dxa"/>
          </w:tcPr>
          <w:p>
            <w:pPr>
              <w:spacing w:line="380" w:lineRule="exact"/>
              <w:rPr>
                <w:bCs/>
                <w:szCs w:val="21"/>
              </w:rPr>
            </w:pPr>
            <w:r>
              <w:rPr>
                <w:rFonts w:hint="eastAsia"/>
                <w:bCs/>
                <w:szCs w:val="21"/>
              </w:rPr>
              <w:t>E8.1</w:t>
            </w:r>
          </w:p>
          <w:p>
            <w:pPr>
              <w:spacing w:line="380" w:lineRule="exact"/>
              <w:rPr>
                <w:rFonts w:ascii="宋体" w:hAnsi="宋体" w:cs="宋体"/>
                <w:color w:val="000000"/>
                <w:szCs w:val="21"/>
              </w:rPr>
            </w:pPr>
          </w:p>
        </w:tc>
        <w:tc>
          <w:tcPr>
            <w:tcW w:w="11172" w:type="dxa"/>
          </w:tcPr>
          <w:p>
            <w:pPr>
              <w:spacing w:line="360" w:lineRule="auto"/>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编制与环境体系运行控制有关的文件有《环境管理体系运行控制程序》、</w:t>
            </w:r>
            <w:r>
              <w:rPr>
                <w:rFonts w:hint="eastAsia" w:cs="宋体" w:asciiTheme="minorEastAsia" w:hAnsiTheme="minorEastAsia" w:eastAsiaTheme="minorEastAsia"/>
                <w:sz w:val="21"/>
                <w:szCs w:val="21"/>
                <w:lang w:eastAsia="zh-CN"/>
              </w:rPr>
              <w:t>《</w:t>
            </w:r>
            <w:r>
              <w:rPr>
                <w:rFonts w:hint="eastAsia" w:cs="宋体" w:asciiTheme="minorEastAsia" w:hAnsiTheme="minorEastAsia" w:eastAsiaTheme="minorEastAsia"/>
                <w:sz w:val="21"/>
                <w:szCs w:val="21"/>
              </w:rPr>
              <w:t>固体废弃物控制程序</w:t>
            </w:r>
            <w:r>
              <w:rPr>
                <w:rFonts w:hint="eastAsia" w:cs="宋体" w:asciiTheme="minorEastAsia" w:hAnsiTheme="minorEastAsia" w:eastAsiaTheme="minorEastAsia"/>
                <w:sz w:val="21"/>
                <w:szCs w:val="21"/>
                <w:lang w:eastAsia="zh-CN"/>
              </w:rPr>
              <w:t>》、</w:t>
            </w:r>
            <w:r>
              <w:rPr>
                <w:rFonts w:hint="eastAsia" w:cs="宋体" w:asciiTheme="minorEastAsia" w:hAnsiTheme="minorEastAsia" w:eastAsiaTheme="minorEastAsia"/>
                <w:sz w:val="21"/>
                <w:szCs w:val="21"/>
              </w:rPr>
              <w:t>《应急准备与响应控制程序》、《消防防火控制程序》、《应急管理程序》、《防火管理程序》、《噪音管理程序》、《应急预案》</w:t>
            </w:r>
            <w:r>
              <w:rPr>
                <w:rFonts w:hint="eastAsia" w:cs="宋体" w:asciiTheme="minorEastAsia" w:hAnsiTheme="minorEastAsia" w:eastAsiaTheme="minorEastAsia"/>
                <w:sz w:val="21"/>
                <w:szCs w:val="21"/>
                <w:lang w:eastAsia="zh-CN"/>
              </w:rPr>
              <w:t>、《医用氧气、水、电、储运供应控制程序》</w:t>
            </w:r>
            <w:r>
              <w:rPr>
                <w:rFonts w:hint="eastAsia" w:cs="宋体" w:asciiTheme="minorEastAsia" w:hAnsiTheme="minorEastAsia" w:eastAsiaTheme="minorEastAsia"/>
                <w:sz w:val="21"/>
                <w:szCs w:val="21"/>
              </w:rPr>
              <w:t>等。</w:t>
            </w:r>
          </w:p>
          <w:p>
            <w:pPr>
              <w:spacing w:line="360" w:lineRule="auto"/>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1、废水管控：</w:t>
            </w:r>
          </w:p>
          <w:p>
            <w:pPr>
              <w:spacing w:line="360" w:lineRule="auto"/>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生活污水和医疗污水，集中处理排放，各科医疗用水的污水进入污水处理管道，由医院污水处理站进行无害化处理，处理达标后排放。</w:t>
            </w:r>
          </w:p>
          <w:p>
            <w:pPr>
              <w:spacing w:line="360" w:lineRule="auto"/>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2、废气管控：</w:t>
            </w:r>
          </w:p>
          <w:p>
            <w:pPr>
              <w:spacing w:line="360" w:lineRule="auto"/>
              <w:rPr>
                <w:rFonts w:cs="宋体" w:asciiTheme="minorEastAsia" w:hAnsiTheme="minorEastAsia" w:eastAsiaTheme="minorEastAsia"/>
                <w:sz w:val="21"/>
                <w:szCs w:val="21"/>
              </w:rPr>
            </w:pPr>
            <w:r>
              <w:rPr>
                <w:rFonts w:hint="eastAsia" w:cs="宋体" w:asciiTheme="minorEastAsia" w:hAnsiTheme="minorEastAsia" w:eastAsiaTheme="minorEastAsia"/>
                <w:sz w:val="21"/>
                <w:szCs w:val="21"/>
                <w:lang w:val="en-US" w:eastAsia="zh-CN"/>
              </w:rPr>
              <w:t>麻醉科</w:t>
            </w:r>
            <w:r>
              <w:rPr>
                <w:rFonts w:hint="eastAsia" w:cs="宋体" w:asciiTheme="minorEastAsia" w:hAnsiTheme="minorEastAsia" w:eastAsiaTheme="minorEastAsia"/>
                <w:sz w:val="21"/>
                <w:szCs w:val="21"/>
              </w:rPr>
              <w:t>办公区域及</w:t>
            </w:r>
            <w:r>
              <w:rPr>
                <w:rFonts w:hint="eastAsia" w:cs="宋体" w:asciiTheme="minorEastAsia" w:hAnsiTheme="minorEastAsia" w:eastAsiaTheme="minorEastAsia"/>
                <w:sz w:val="21"/>
                <w:szCs w:val="21"/>
                <w:lang w:val="en-US" w:eastAsia="zh-CN"/>
              </w:rPr>
              <w:t>医护</w:t>
            </w:r>
            <w:r>
              <w:rPr>
                <w:rFonts w:hint="eastAsia" w:cs="宋体" w:asciiTheme="minorEastAsia" w:hAnsiTheme="minorEastAsia" w:eastAsiaTheme="minorEastAsia"/>
                <w:sz w:val="21"/>
                <w:szCs w:val="21"/>
              </w:rPr>
              <w:t>过程</w:t>
            </w:r>
            <w:r>
              <w:rPr>
                <w:rFonts w:hint="eastAsia" w:cs="宋体" w:asciiTheme="minorEastAsia" w:hAnsiTheme="minorEastAsia" w:eastAsiaTheme="minorEastAsia"/>
                <w:sz w:val="21"/>
                <w:szCs w:val="21"/>
                <w:lang w:val="en-US" w:eastAsia="zh-CN"/>
              </w:rPr>
              <w:t>不产生废气</w:t>
            </w:r>
            <w:r>
              <w:rPr>
                <w:rFonts w:hint="eastAsia" w:cs="宋体" w:asciiTheme="minorEastAsia" w:hAnsiTheme="minorEastAsia" w:eastAsiaTheme="minorEastAsia"/>
                <w:sz w:val="21"/>
                <w:szCs w:val="21"/>
              </w:rPr>
              <w:t>。</w:t>
            </w:r>
          </w:p>
          <w:p>
            <w:pPr>
              <w:spacing w:line="360" w:lineRule="auto"/>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3、噪声管控：</w:t>
            </w:r>
          </w:p>
          <w:p>
            <w:pPr>
              <w:spacing w:line="360" w:lineRule="auto"/>
              <w:rPr>
                <w:rFonts w:cs="宋体" w:asciiTheme="minorEastAsia" w:hAnsiTheme="minorEastAsia" w:eastAsiaTheme="minorEastAsia"/>
                <w:sz w:val="21"/>
                <w:szCs w:val="21"/>
              </w:rPr>
            </w:pPr>
            <w:r>
              <w:rPr>
                <w:rFonts w:hint="eastAsia" w:cs="宋体" w:asciiTheme="minorEastAsia" w:hAnsiTheme="minorEastAsia" w:eastAsiaTheme="minorEastAsia"/>
                <w:sz w:val="21"/>
                <w:szCs w:val="21"/>
                <w:lang w:val="en-US" w:eastAsia="zh-CN"/>
              </w:rPr>
              <w:t>麻醉科</w:t>
            </w:r>
            <w:r>
              <w:rPr>
                <w:rFonts w:hint="eastAsia" w:cs="宋体" w:asciiTheme="minorEastAsia" w:hAnsiTheme="minorEastAsia" w:eastAsiaTheme="minorEastAsia"/>
                <w:sz w:val="21"/>
                <w:szCs w:val="21"/>
              </w:rPr>
              <w:t>办公区域及</w:t>
            </w:r>
            <w:r>
              <w:rPr>
                <w:rFonts w:hint="eastAsia" w:cs="宋体" w:asciiTheme="minorEastAsia" w:hAnsiTheme="minorEastAsia" w:eastAsiaTheme="minorEastAsia"/>
                <w:sz w:val="21"/>
                <w:szCs w:val="21"/>
                <w:lang w:val="en-US" w:eastAsia="zh-CN"/>
              </w:rPr>
              <w:t>医护</w:t>
            </w:r>
            <w:r>
              <w:rPr>
                <w:rFonts w:hint="eastAsia" w:cs="宋体" w:asciiTheme="minorEastAsia" w:hAnsiTheme="minorEastAsia" w:eastAsiaTheme="minorEastAsia"/>
                <w:sz w:val="21"/>
                <w:szCs w:val="21"/>
              </w:rPr>
              <w:t>过程基本无噪声。</w:t>
            </w:r>
          </w:p>
          <w:p>
            <w:pPr>
              <w:spacing w:line="360" w:lineRule="auto"/>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4、固废管控：</w:t>
            </w:r>
          </w:p>
          <w:p>
            <w:pPr>
              <w:spacing w:line="360" w:lineRule="auto"/>
              <w:ind w:firstLine="421"/>
              <w:rPr>
                <w:rFonts w:hint="eastAsia" w:cs="宋体" w:asciiTheme="minorEastAsia" w:hAnsiTheme="minorEastAsia" w:eastAsiaTheme="minorEastAsia"/>
                <w:sz w:val="21"/>
                <w:szCs w:val="21"/>
                <w:lang w:val="en-US" w:eastAsia="zh-CN"/>
              </w:rPr>
            </w:pPr>
            <w:r>
              <w:rPr>
                <w:rFonts w:hint="eastAsia" w:cs="宋体" w:asciiTheme="minorEastAsia" w:hAnsiTheme="minorEastAsia" w:eastAsiaTheme="minorEastAsia"/>
                <w:sz w:val="21"/>
                <w:szCs w:val="21"/>
                <w:lang w:val="en-US" w:eastAsia="zh-CN"/>
              </w:rPr>
              <w:t>麻醉科办公区域及医护过程产生的固废主要包括生活垃圾、医疗废物及污水处理站污泥，生活垃 圾经垃圾桶收集后交由当地环卫部门日清日运；医疗废物经专用医疗废物收集桶 收集后，由专人每天运输至项目医疗废物暂存间内暂存，后交由光大环保能源 （三亚）有限公司收运处理；项目污水处理站污泥产生量较小，经污泥浓缩池浓缩后，之后委托有资质单位进行处理。</w:t>
            </w:r>
          </w:p>
          <w:p>
            <w:pPr>
              <w:spacing w:line="360" w:lineRule="auto"/>
              <w:ind w:firstLine="421"/>
              <w:rPr>
                <w:rFonts w:hint="eastAsia" w:cs="宋体" w:asciiTheme="minorEastAsia" w:hAnsiTheme="minorEastAsia" w:eastAsiaTheme="minorEastAsia"/>
                <w:sz w:val="21"/>
                <w:szCs w:val="21"/>
                <w:lang w:val="en-US" w:eastAsia="zh-CN"/>
              </w:rPr>
            </w:pPr>
            <w:r>
              <w:rPr>
                <w:rFonts w:hint="eastAsia" w:cs="宋体" w:asciiTheme="minorEastAsia" w:hAnsiTheme="minorEastAsia" w:eastAsiaTheme="minorEastAsia"/>
                <w:sz w:val="21"/>
                <w:szCs w:val="21"/>
                <w:lang w:val="en-US" w:eastAsia="zh-CN"/>
              </w:rPr>
              <w:t>查麻醉科医疗废物处置间，内按医疗废物按“化学性废物”、“损伤性废物”、“感染性废物”等进行分类收集。</w:t>
            </w:r>
          </w:p>
          <w:p>
            <w:pPr>
              <w:pStyle w:val="4"/>
              <w:rPr>
                <w:rFonts w:hint="default"/>
                <w:lang w:val="en-US"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val="en-US" w:eastAsia="zh-CN"/>
              </w:rPr>
              <w:drawing>
                <wp:inline distT="0" distB="0" distL="114300" distR="114300">
                  <wp:extent cx="2870835" cy="1741805"/>
                  <wp:effectExtent l="0" t="0" r="12065" b="10795"/>
                  <wp:docPr id="44" name="图片 44" descr="45f329fe8d82c4de16d9093acbbfa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45f329fe8d82c4de16d9093acbbfac8"/>
                          <pic:cNvPicPr>
                            <a:picLocks noChangeAspect="1"/>
                          </pic:cNvPicPr>
                        </pic:nvPicPr>
                        <pic:blipFill>
                          <a:blip r:embed="rId29"/>
                          <a:stretch>
                            <a:fillRect/>
                          </a:stretch>
                        </pic:blipFill>
                        <pic:spPr>
                          <a:xfrm>
                            <a:off x="0" y="0"/>
                            <a:ext cx="2870835" cy="1741805"/>
                          </a:xfrm>
                          <a:prstGeom prst="rect">
                            <a:avLst/>
                          </a:prstGeom>
                        </pic:spPr>
                      </pic:pic>
                    </a:graphicData>
                  </a:graphic>
                </wp:inline>
              </w:drawing>
            </w:r>
          </w:p>
          <w:p>
            <w:pPr>
              <w:numPr>
                <w:ilvl w:val="0"/>
                <w:numId w:val="0"/>
              </w:numPr>
              <w:spacing w:line="360" w:lineRule="auto"/>
              <w:rPr>
                <w:rFonts w:cs="宋体" w:asciiTheme="minorEastAsia" w:hAnsiTheme="minorEastAsia" w:eastAsiaTheme="minorEastAsia"/>
                <w:sz w:val="21"/>
                <w:szCs w:val="21"/>
              </w:rPr>
            </w:pPr>
            <w:r>
              <w:rPr>
                <w:rFonts w:hint="eastAsia" w:cs="宋体" w:asciiTheme="minorEastAsia" w:hAnsiTheme="minorEastAsia" w:eastAsiaTheme="minorEastAsia"/>
                <w:sz w:val="21"/>
                <w:szCs w:val="21"/>
                <w:lang w:val="en-US" w:eastAsia="zh-CN"/>
              </w:rPr>
              <w:t>5.</w:t>
            </w:r>
            <w:r>
              <w:rPr>
                <w:rFonts w:hint="eastAsia" w:cs="宋体" w:asciiTheme="minorEastAsia" w:hAnsiTheme="minorEastAsia" w:eastAsiaTheme="minorEastAsia"/>
                <w:sz w:val="21"/>
                <w:szCs w:val="21"/>
              </w:rPr>
              <w:t>能源资源管控：</w:t>
            </w:r>
          </w:p>
          <w:p>
            <w:pPr>
              <w:spacing w:line="360" w:lineRule="auto"/>
              <w:ind w:firstLine="420" w:firstLineChars="20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lang w:val="en-US" w:eastAsia="zh-CN"/>
              </w:rPr>
              <w:t>麻醉科</w:t>
            </w:r>
            <w:r>
              <w:rPr>
                <w:rFonts w:hint="eastAsia" w:cs="宋体" w:asciiTheme="minorEastAsia" w:hAnsiTheme="minorEastAsia" w:eastAsiaTheme="minorEastAsia"/>
                <w:sz w:val="21"/>
                <w:szCs w:val="21"/>
              </w:rPr>
              <w:t>办公区域及</w:t>
            </w:r>
            <w:r>
              <w:rPr>
                <w:rFonts w:hint="eastAsia" w:cs="宋体" w:asciiTheme="minorEastAsia" w:hAnsiTheme="minorEastAsia" w:eastAsiaTheme="minorEastAsia"/>
                <w:sz w:val="21"/>
                <w:szCs w:val="21"/>
                <w:lang w:val="en-US" w:eastAsia="zh-CN"/>
              </w:rPr>
              <w:t>医护</w:t>
            </w:r>
            <w:r>
              <w:rPr>
                <w:rFonts w:hint="eastAsia" w:cs="宋体" w:asciiTheme="minorEastAsia" w:hAnsiTheme="minorEastAsia" w:eastAsiaTheme="minorEastAsia"/>
                <w:sz w:val="21"/>
                <w:szCs w:val="21"/>
              </w:rPr>
              <w:t>过程注意节水、节电</w:t>
            </w:r>
            <w:r>
              <w:rPr>
                <w:rFonts w:hint="eastAsia" w:cs="宋体" w:asciiTheme="minorEastAsia" w:hAnsiTheme="minorEastAsia" w:eastAsiaTheme="minorEastAsia"/>
                <w:sz w:val="21"/>
                <w:szCs w:val="21"/>
                <w:lang w:eastAsia="zh-CN"/>
              </w:rPr>
              <w:t>，</w:t>
            </w:r>
            <w:r>
              <w:rPr>
                <w:rFonts w:hint="eastAsia" w:cs="宋体" w:asciiTheme="minorEastAsia" w:hAnsiTheme="minorEastAsia" w:eastAsiaTheme="minorEastAsia"/>
                <w:sz w:val="21"/>
                <w:szCs w:val="21"/>
              </w:rPr>
              <w:t>人走关闭设备和照明开关，现场未发现有漏水和浪费电能的现象。</w:t>
            </w:r>
          </w:p>
          <w:p>
            <w:pPr>
              <w:spacing w:line="360" w:lineRule="auto"/>
              <w:rPr>
                <w:rFonts w:cs="宋体" w:asciiTheme="minorEastAsia" w:hAnsiTheme="minorEastAsia" w:eastAsiaTheme="minorEastAsia"/>
                <w:sz w:val="21"/>
                <w:szCs w:val="21"/>
              </w:rPr>
            </w:pPr>
            <w:r>
              <w:rPr>
                <w:rFonts w:hint="eastAsia" w:cs="宋体" w:asciiTheme="minorEastAsia" w:hAnsiTheme="minorEastAsia" w:eastAsiaTheme="minorEastAsia"/>
                <w:sz w:val="21"/>
                <w:szCs w:val="21"/>
                <w:lang w:val="en-US" w:eastAsia="zh-CN"/>
              </w:rPr>
              <w:t>6</w:t>
            </w:r>
            <w:r>
              <w:rPr>
                <w:rFonts w:hint="eastAsia" w:cs="宋体" w:asciiTheme="minorEastAsia" w:hAnsiTheme="minorEastAsia" w:eastAsiaTheme="minorEastAsia"/>
                <w:sz w:val="21"/>
                <w:szCs w:val="21"/>
              </w:rPr>
              <w:t>、潜在火灾管控：</w:t>
            </w:r>
          </w:p>
          <w:p>
            <w:pPr>
              <w:spacing w:line="360" w:lineRule="auto"/>
              <w:ind w:firstLine="421"/>
              <w:rPr>
                <w:rFonts w:cs="宋体" w:asciiTheme="minorEastAsia" w:hAnsiTheme="minorEastAsia" w:eastAsiaTheme="minorEastAsia"/>
                <w:sz w:val="21"/>
                <w:szCs w:val="21"/>
              </w:rPr>
            </w:pPr>
            <w:r>
              <w:rPr>
                <w:rFonts w:hint="eastAsia" w:cs="宋体" w:asciiTheme="minorEastAsia" w:hAnsiTheme="minorEastAsia" w:eastAsiaTheme="minorEastAsia"/>
                <w:sz w:val="21"/>
                <w:szCs w:val="21"/>
                <w:lang w:val="en-US" w:eastAsia="zh-CN"/>
              </w:rPr>
              <w:t>麻醉科</w:t>
            </w:r>
            <w:r>
              <w:rPr>
                <w:rFonts w:hint="eastAsia" w:cs="宋体" w:asciiTheme="minorEastAsia" w:hAnsiTheme="minorEastAsia" w:eastAsiaTheme="minorEastAsia"/>
                <w:sz w:val="21"/>
                <w:szCs w:val="21"/>
              </w:rPr>
              <w:t>办公区域及</w:t>
            </w:r>
            <w:r>
              <w:rPr>
                <w:rFonts w:hint="eastAsia" w:cs="宋体" w:asciiTheme="minorEastAsia" w:hAnsiTheme="minorEastAsia" w:eastAsiaTheme="minorEastAsia"/>
                <w:sz w:val="21"/>
                <w:szCs w:val="21"/>
                <w:lang w:val="en-US" w:eastAsia="zh-CN"/>
              </w:rPr>
              <w:t>医护</w:t>
            </w:r>
            <w:r>
              <w:rPr>
                <w:rFonts w:hint="eastAsia" w:cs="宋体" w:asciiTheme="minorEastAsia" w:hAnsiTheme="minorEastAsia" w:eastAsiaTheme="minorEastAsia"/>
                <w:sz w:val="21"/>
                <w:szCs w:val="21"/>
              </w:rPr>
              <w:t>区域配备了灭火器，均符合要求。</w:t>
            </w:r>
          </w:p>
          <w:p>
            <w:pPr>
              <w:spacing w:line="380" w:lineRule="exact"/>
              <w:ind w:firstLine="421"/>
              <w:rPr>
                <w:rFonts w:hint="default"/>
                <w:lang w:val="en-US" w:eastAsia="zh-CN"/>
              </w:rPr>
            </w:pPr>
            <w:r>
              <w:rPr>
                <w:rFonts w:hint="eastAsia" w:cs="宋体" w:asciiTheme="minorEastAsia" w:hAnsiTheme="minorEastAsia" w:eastAsiaTheme="minorEastAsia"/>
                <w:sz w:val="21"/>
                <w:szCs w:val="21"/>
              </w:rPr>
              <w:t>在环保方面的控制管理基本有效</w:t>
            </w:r>
            <w:r>
              <w:rPr>
                <w:rFonts w:hint="eastAsia" w:cs="宋体" w:asciiTheme="minorEastAsia" w:hAnsiTheme="minorEastAsia" w:eastAsiaTheme="minorEastAsia"/>
                <w:sz w:val="24"/>
                <w:szCs w:val="24"/>
              </w:rPr>
              <w:t>。</w:t>
            </w:r>
          </w:p>
        </w:tc>
        <w:tc>
          <w:tcPr>
            <w:tcW w:w="760" w:type="dxa"/>
          </w:tcPr>
          <w:p>
            <w:pPr>
              <w:spacing w:line="320" w:lineRule="exact"/>
              <w:rPr>
                <w:rFonts w:ascii="宋体" w:hAnsi="宋体" w:cs="宋体"/>
                <w:szCs w:val="21"/>
              </w:rPr>
            </w:pPr>
          </w:p>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7" w:type="dxa"/>
          </w:tcPr>
          <w:p>
            <w:pPr>
              <w:spacing w:line="380" w:lineRule="exact"/>
              <w:rPr>
                <w:rFonts w:ascii="宋体" w:hAnsi="宋体" w:cs="宋体"/>
                <w:szCs w:val="21"/>
              </w:rPr>
            </w:pPr>
            <w:r>
              <w:rPr>
                <w:rFonts w:hint="eastAsia"/>
                <w:bCs/>
                <w:szCs w:val="21"/>
              </w:rPr>
              <w:t>应急准备和相应</w:t>
            </w:r>
          </w:p>
        </w:tc>
        <w:tc>
          <w:tcPr>
            <w:tcW w:w="1070" w:type="dxa"/>
          </w:tcPr>
          <w:p>
            <w:pPr>
              <w:spacing w:line="380" w:lineRule="exact"/>
              <w:rPr>
                <w:bCs/>
                <w:szCs w:val="21"/>
              </w:rPr>
            </w:pPr>
            <w:r>
              <w:rPr>
                <w:rFonts w:hint="eastAsia"/>
                <w:bCs/>
                <w:szCs w:val="21"/>
              </w:rPr>
              <w:t>E8.2</w:t>
            </w:r>
          </w:p>
          <w:p>
            <w:pPr>
              <w:spacing w:line="380" w:lineRule="exact"/>
              <w:rPr>
                <w:rFonts w:ascii="宋体" w:hAnsi="宋体" w:cs="宋体"/>
                <w:color w:val="000000"/>
                <w:szCs w:val="21"/>
              </w:rPr>
            </w:pPr>
          </w:p>
        </w:tc>
        <w:tc>
          <w:tcPr>
            <w:tcW w:w="11172" w:type="dxa"/>
          </w:tcPr>
          <w:p>
            <w:pPr>
              <w:spacing w:line="360" w:lineRule="auto"/>
              <w:rPr>
                <w:rFonts w:hint="eastAsia" w:ascii="Times New Roman" w:hAnsi="Times New Roman" w:eastAsia="宋体" w:cs="Times New Roman"/>
                <w:color w:val="auto"/>
                <w:szCs w:val="22"/>
              </w:rPr>
            </w:pPr>
            <w:r>
              <w:rPr>
                <w:rFonts w:hint="eastAsia" w:ascii="Times New Roman" w:hAnsi="Times New Roman" w:eastAsia="宋体" w:cs="Times New Roman"/>
                <w:color w:val="auto"/>
                <w:szCs w:val="22"/>
              </w:rPr>
              <w:t>编制了《应急准备和响应管理程序》，查看内容基本符合要求。</w:t>
            </w:r>
          </w:p>
          <w:p>
            <w:pPr>
              <w:pStyle w:val="4"/>
              <w:rPr>
                <w:rFonts w:hint="eastAsia"/>
                <w:color w:val="auto"/>
                <w:lang w:val="en-US" w:eastAsia="zh-CN"/>
              </w:rPr>
            </w:pPr>
            <w:r>
              <w:rPr>
                <w:rFonts w:hint="eastAsia"/>
                <w:color w:val="auto"/>
                <w:lang w:val="en-US" w:eastAsia="zh-CN"/>
              </w:rPr>
              <w:t>提供2021年8月1日发布的最新版《博鳌国际医院应急预案汇编》，包含环境相关的应急预案：突发水质污染事故应急预案、突发环境事件应急预案等，有组织人员结构、人员组成、通讯联络、应急物资准备、应急处置程序、注意事项等。</w:t>
            </w:r>
          </w:p>
          <w:p>
            <w:pPr>
              <w:spacing w:line="360" w:lineRule="auto"/>
              <w:rPr>
                <w:rFonts w:hint="eastAsia" w:ascii="Times New Roman" w:hAnsi="Times New Roman" w:eastAsia="宋体" w:cs="Times New Roman"/>
                <w:color w:val="auto"/>
                <w:lang w:val="en-US" w:eastAsia="zh-CN"/>
              </w:rPr>
            </w:pPr>
            <w:r>
              <w:rPr>
                <w:rFonts w:hint="eastAsia"/>
                <w:color w:val="auto"/>
                <w:lang w:val="en-US" w:eastAsia="zh-CN"/>
              </w:rPr>
              <w:t>提供</w:t>
            </w:r>
            <w:r>
              <w:rPr>
                <w:rFonts w:hint="eastAsia" w:ascii="Times New Roman" w:hAnsi="Times New Roman" w:eastAsia="宋体" w:cs="Times New Roman"/>
                <w:color w:val="auto"/>
                <w:lang w:val="en-US" w:eastAsia="zh-CN"/>
              </w:rPr>
              <w:t>《消防演习总结报告》，有演习项目：灭火、逃生自救，地点：运营部，时间：2020年12月11日。</w:t>
            </w:r>
          </w:p>
          <w:p>
            <w:pPr>
              <w:spacing w:line="360" w:lineRule="auto"/>
              <w:rPr>
                <w:rFonts w:hint="eastAsia"/>
                <w:color w:val="auto"/>
                <w:lang w:val="en-US" w:eastAsia="zh-CN"/>
              </w:rPr>
            </w:pPr>
            <w:r>
              <w:rPr>
                <w:rFonts w:hint="eastAsia"/>
                <w:color w:val="auto"/>
                <w:lang w:val="en-US" w:eastAsia="zh-CN"/>
              </w:rPr>
              <w:t>有演练过程记录，演练存在的问题及整改措施等。有火灾应急响应演练评审，对演练中发现的问题要求整改。</w:t>
            </w:r>
          </w:p>
          <w:p>
            <w:pPr>
              <w:spacing w:line="360" w:lineRule="auto"/>
              <w:rPr>
                <w:rFonts w:hint="eastAsia" w:ascii="Times New Roman" w:hAnsi="Times New Roman" w:eastAsia="宋体" w:cs="Times New Roman"/>
                <w:color w:val="auto"/>
                <w:lang w:val="en-US" w:eastAsia="zh-CN"/>
              </w:rPr>
            </w:pPr>
            <w:r>
              <w:rPr>
                <w:rFonts w:hint="eastAsia"/>
                <w:color w:val="auto"/>
                <w:lang w:val="en-US" w:eastAsia="zh-CN"/>
              </w:rPr>
              <w:t>提供</w:t>
            </w:r>
            <w:r>
              <w:rPr>
                <w:rFonts w:hint="eastAsia" w:ascii="Times New Roman" w:hAnsi="Times New Roman" w:eastAsia="宋体" w:cs="Times New Roman"/>
                <w:color w:val="auto"/>
                <w:lang w:val="en-US" w:eastAsia="zh-CN"/>
              </w:rPr>
              <w:t>《污水排放失控预案记录》，有演习项目：演练实施情况记录：时间：2021年1月8日-9日。</w:t>
            </w:r>
          </w:p>
          <w:p>
            <w:pPr>
              <w:spacing w:line="360" w:lineRule="auto"/>
              <w:rPr>
                <w:rFonts w:hint="eastAsia"/>
                <w:color w:val="auto"/>
                <w:lang w:val="en-US" w:eastAsia="zh-CN"/>
              </w:rPr>
            </w:pPr>
            <w:r>
              <w:rPr>
                <w:rFonts w:hint="eastAsia" w:ascii="Times New Roman" w:hAnsi="Times New Roman" w:eastAsia="宋体" w:cs="Times New Roman"/>
                <w:color w:val="auto"/>
                <w:lang w:val="en-US" w:eastAsia="zh-CN"/>
              </w:rPr>
              <w:t>有演练过程记录，演练存在的问题及整改措施</w:t>
            </w:r>
            <w:r>
              <w:rPr>
                <w:rFonts w:hint="eastAsia"/>
                <w:color w:val="auto"/>
                <w:lang w:val="en-US" w:eastAsia="zh-CN"/>
              </w:rPr>
              <w:t>等。有火灾应急响应演练评审，对演练中发现的问题要求整改。</w:t>
            </w:r>
          </w:p>
          <w:p>
            <w:pPr>
              <w:spacing w:line="380" w:lineRule="exact"/>
              <w:rPr>
                <w:rFonts w:hint="eastAsia" w:cs="宋体" w:asciiTheme="minorEastAsia" w:hAnsiTheme="minorEastAsia" w:eastAsiaTheme="minorEastAsia"/>
                <w:sz w:val="21"/>
                <w:szCs w:val="21"/>
                <w:lang w:val="en-US" w:eastAsia="zh-CN"/>
              </w:rPr>
            </w:pPr>
            <w:r>
              <w:rPr>
                <w:rFonts w:hint="eastAsia"/>
                <w:color w:val="auto"/>
                <w:lang w:val="en-US" w:eastAsia="zh-CN"/>
              </w:rPr>
              <w:t>医院在大楼各楼层配置了消防设施设备，包含：消防栓、灭火器、报警器、防火卷闸门、烟感系统，园区建设了地下消防用水，各项设施设备的均有日常检查，能够保持正常使用。</w:t>
            </w:r>
            <w:r>
              <w:rPr>
                <w:rFonts w:hint="eastAsia" w:cs="宋体" w:asciiTheme="minorEastAsia" w:hAnsiTheme="minorEastAsia" w:eastAsiaTheme="minorEastAsia"/>
                <w:sz w:val="21"/>
                <w:szCs w:val="21"/>
                <w:lang w:val="en-US" w:eastAsia="zh-CN"/>
              </w:rPr>
              <w:t>公司进行了应急预案演练：火灾、医废泄露；</w:t>
            </w:r>
          </w:p>
          <w:p>
            <w:pPr>
              <w:spacing w:line="380" w:lineRule="exact"/>
              <w:rPr>
                <w:rFonts w:hint="eastAsia" w:eastAsia="宋体"/>
                <w:color w:val="000000"/>
                <w:szCs w:val="21"/>
                <w:lang w:val="en-US" w:eastAsia="zh-CN"/>
              </w:rPr>
            </w:pPr>
            <w:r>
              <w:rPr>
                <w:rFonts w:hint="eastAsia" w:cs="宋体" w:asciiTheme="minorEastAsia" w:hAnsiTheme="minorEastAsia" w:eastAsiaTheme="minorEastAsia"/>
                <w:sz w:val="21"/>
                <w:szCs w:val="21"/>
                <w:lang w:val="en-US" w:eastAsia="zh-CN"/>
              </w:rPr>
              <w:t>本部门人员参与预案演练、提供《签到表》有参演签字信息、提供现场照片；</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707" w:type="dxa"/>
          </w:tcPr>
          <w:p>
            <w:pPr>
              <w:spacing w:line="380" w:lineRule="exact"/>
              <w:rPr>
                <w:rFonts w:ascii="宋体" w:hAnsi="宋体" w:cs="宋体"/>
                <w:bCs/>
                <w:szCs w:val="21"/>
              </w:rPr>
            </w:pPr>
            <w:r>
              <w:rPr>
                <w:rFonts w:hint="eastAsia" w:ascii="宋体" w:hAnsi="宋体" w:cs="宋体"/>
                <w:bCs/>
                <w:szCs w:val="21"/>
              </w:rPr>
              <w:t>不合格品输出控制</w:t>
            </w:r>
          </w:p>
          <w:p>
            <w:pPr>
              <w:spacing w:line="380" w:lineRule="exact"/>
              <w:rPr>
                <w:rFonts w:ascii="宋体" w:hAnsi="宋体" w:cs="宋体"/>
                <w:szCs w:val="21"/>
              </w:rPr>
            </w:pPr>
            <w:r>
              <w:rPr>
                <w:rFonts w:hint="eastAsia" w:ascii="宋体" w:hAnsi="宋体" w:cs="宋体"/>
                <w:szCs w:val="21"/>
              </w:rPr>
              <w:t>不合格和纠正措施</w:t>
            </w:r>
          </w:p>
        </w:tc>
        <w:tc>
          <w:tcPr>
            <w:tcW w:w="1070" w:type="dxa"/>
          </w:tcPr>
          <w:p>
            <w:pPr>
              <w:spacing w:line="380" w:lineRule="exact"/>
              <w:rPr>
                <w:rFonts w:ascii="宋体" w:hAnsi="宋体" w:cs="宋体"/>
                <w:bCs/>
                <w:szCs w:val="21"/>
              </w:rPr>
            </w:pPr>
            <w:r>
              <w:rPr>
                <w:rFonts w:hint="eastAsia" w:ascii="宋体" w:hAnsi="宋体" w:cs="宋体"/>
                <w:bCs/>
                <w:szCs w:val="21"/>
              </w:rPr>
              <w:t>Q8.7</w:t>
            </w:r>
          </w:p>
          <w:p>
            <w:pPr>
              <w:spacing w:line="380" w:lineRule="exact"/>
              <w:rPr>
                <w:rFonts w:hint="eastAsia" w:ascii="宋体" w:hAnsi="宋体" w:cs="宋体"/>
                <w:bCs/>
                <w:szCs w:val="21"/>
              </w:rPr>
            </w:pPr>
            <w:r>
              <w:rPr>
                <w:rFonts w:hint="eastAsia" w:ascii="宋体" w:hAnsi="宋体" w:cs="宋体"/>
                <w:bCs/>
                <w:szCs w:val="21"/>
              </w:rPr>
              <w:t>Q</w:t>
            </w:r>
            <w:r>
              <w:rPr>
                <w:rFonts w:hint="eastAsia" w:ascii="宋体" w:hAnsi="宋体" w:cs="宋体"/>
                <w:bCs/>
                <w:szCs w:val="21"/>
                <w:lang w:val="en-US" w:eastAsia="zh-CN"/>
              </w:rPr>
              <w:t>E</w:t>
            </w:r>
            <w:r>
              <w:rPr>
                <w:rFonts w:hint="eastAsia" w:ascii="宋体" w:hAnsi="宋体" w:cs="宋体"/>
                <w:bCs/>
                <w:szCs w:val="21"/>
              </w:rPr>
              <w:t>10.2</w:t>
            </w:r>
          </w:p>
          <w:p>
            <w:pPr>
              <w:spacing w:line="380" w:lineRule="exact"/>
              <w:rPr>
                <w:rFonts w:ascii="宋体" w:hAnsi="宋体" w:cs="宋体"/>
                <w:color w:val="000000"/>
                <w:szCs w:val="21"/>
              </w:rPr>
            </w:pPr>
          </w:p>
        </w:tc>
        <w:tc>
          <w:tcPr>
            <w:tcW w:w="11172" w:type="dxa"/>
          </w:tcPr>
          <w:p>
            <w:pPr>
              <w:keepNext w:val="0"/>
              <w:keepLines w:val="0"/>
              <w:widowControl/>
              <w:suppressLineNumbers w:val="0"/>
              <w:spacing w:line="360" w:lineRule="auto"/>
              <w:jc w:val="left"/>
              <w:rPr>
                <w:rFonts w:hint="eastAsia"/>
                <w:lang w:val="en-US" w:eastAsia="zh-CN"/>
              </w:rPr>
            </w:pPr>
            <w:r>
              <w:rPr>
                <w:rFonts w:hint="eastAsia"/>
                <w:lang w:val="en-US" w:eastAsia="zh-CN"/>
              </w:rPr>
              <w:t>制定了《药品不良反应事件应急预案及处理程序》、《药物不良反应处理流程》、《处理药品不良反应注意事项》《严重药品不良反应应急预案及处理程序》《药品不良反应事件名称及描述》、《药品不良反应后采取的措施及转归》、《严重药品不良反应的报告时限及处理》、《新的药品不良反应的报告时限及处理》、《药品不良反应/事件报告表》、</w:t>
            </w:r>
            <w:r>
              <w:rPr>
                <w:rFonts w:hint="eastAsia" w:ascii="宋体" w:hAnsi="宋体"/>
                <w:sz w:val="21"/>
                <w:szCs w:val="21"/>
              </w:rPr>
              <w:t>《纠正预防措施控制程序》对持续改进的过程予以规定，以实现</w:t>
            </w:r>
            <w:r>
              <w:rPr>
                <w:rFonts w:hint="eastAsia" w:ascii="宋体" w:hAnsi="宋体"/>
                <w:sz w:val="21"/>
                <w:szCs w:val="21"/>
                <w:lang w:val="en-US" w:eastAsia="zh-CN"/>
              </w:rPr>
              <w:t>质量</w:t>
            </w:r>
            <w:r>
              <w:rPr>
                <w:rFonts w:hint="eastAsia" w:ascii="宋体" w:hAnsi="宋体"/>
                <w:sz w:val="21"/>
                <w:szCs w:val="21"/>
              </w:rPr>
              <w:t>环境管理体系及产品符合性的持续改进。持续改进的过程包含持续改进的提出、立项、不合格的原因的分析、纠正措施的确定、跟踪和评价及负责部门和人员职责等。</w:t>
            </w:r>
          </w:p>
          <w:p>
            <w:pPr>
              <w:pStyle w:val="3"/>
              <w:spacing w:line="360" w:lineRule="auto"/>
              <w:ind w:left="0" w:leftChars="0" w:firstLine="0" w:firstLineChars="0"/>
              <w:rPr>
                <w:rFonts w:hint="eastAsia" w:eastAsia="宋体"/>
                <w:color w:val="000000"/>
                <w:szCs w:val="21"/>
                <w:lang w:val="en-US" w:eastAsia="zh-CN"/>
              </w:rPr>
            </w:pPr>
            <w:r>
              <w:rPr>
                <w:rFonts w:hint="eastAsia"/>
                <w:color w:val="000000"/>
                <w:szCs w:val="21"/>
                <w:lang w:val="en-US" w:eastAsia="zh-CN"/>
              </w:rPr>
              <w:t>科室负责人答复本科室暂无不符合</w:t>
            </w:r>
            <w:r>
              <w:rPr>
                <w:rFonts w:hint="eastAsia" w:ascii="宋体" w:hAnsi="宋体" w:cs="宋体"/>
                <w:color w:val="000000" w:themeColor="text1"/>
                <w:sz w:val="21"/>
                <w:szCs w:val="21"/>
                <w:lang w:eastAsia="zh-CN"/>
                <w14:textFill>
                  <w14:solidFill>
                    <w14:schemeClr w14:val="tx1"/>
                  </w14:solidFill>
                </w14:textFill>
              </w:rPr>
              <w:t>；</w:t>
            </w:r>
          </w:p>
        </w:tc>
        <w:tc>
          <w:tcPr>
            <w:tcW w:w="760" w:type="dxa"/>
          </w:tcPr>
          <w:p>
            <w:pPr>
              <w:spacing w:line="320" w:lineRule="exact"/>
              <w:rPr>
                <w:rFonts w:ascii="宋体" w:hAnsi="宋体" w:cs="宋体"/>
                <w:szCs w:val="21"/>
              </w:rPr>
            </w:pPr>
          </w:p>
        </w:tc>
      </w:tr>
    </w:tbl>
    <w:p>
      <w:pPr>
        <w:pStyle w:val="8"/>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8"/>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9"/>
      <w:pBdr>
        <w:bottom w:val="none" w:color="auto" w:sz="0" w:space="1"/>
      </w:pBdr>
      <w:spacing w:line="320" w:lineRule="exact"/>
      <w:jc w:val="left"/>
    </w:pPr>
    <w:r>
      <mc:AlternateContent>
        <mc:Choice Requires="wps">
          <w:drawing>
            <wp:anchor distT="0" distB="0" distL="114300" distR="114300" simplePos="0" relativeHeight="251660288" behindDoc="0" locked="0" layoutInCell="1" allowOverlap="1">
              <wp:simplePos x="0" y="0"/>
              <wp:positionH relativeFrom="column">
                <wp:posOffset>7045325</wp:posOffset>
              </wp:positionH>
              <wp:positionV relativeFrom="paragraph">
                <wp:posOffset>27940</wp:posOffset>
              </wp:positionV>
              <wp:extent cx="2184400" cy="256540"/>
              <wp:effectExtent l="0" t="0" r="6350" b="10160"/>
              <wp:wrapNone/>
              <wp:docPr id="2" name="文本框 1"/>
              <wp:cNvGraphicFramePr/>
              <a:graphic xmlns:a="http://schemas.openxmlformats.org/drawingml/2006/main">
                <a:graphicData uri="http://schemas.microsoft.com/office/word/2010/wordprocessingShape">
                  <wps:wsp>
                    <wps:cNvSpPr txBox="1"/>
                    <wps:spPr>
                      <a:xfrm>
                        <a:off x="0" y="0"/>
                        <a:ext cx="2388235" cy="256540"/>
                      </a:xfrm>
                      <a:prstGeom prst="rect">
                        <a:avLst/>
                      </a:prstGeom>
                      <a:solidFill>
                        <a:srgbClr val="FFFFFF"/>
                      </a:solidFill>
                      <a:ln w="9525">
                        <a:noFill/>
                      </a:ln>
                      <a:effectLst/>
                    </wps:spPr>
                    <wps:txbx>
                      <w:txbxContent>
                        <w:p>
                          <w:r>
                            <w:rPr>
                              <w:rFonts w:hint="eastAsia"/>
                              <w:sz w:val="18"/>
                              <w:szCs w:val="18"/>
                            </w:rPr>
                            <w:t>ISC-B-I-19 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60288;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EGquXWAAAACgEAAA8AAAAAAAAAAQAgAAAAIgAA&#10;AGRycy9kb3ducmV2LnhtbFBLAQIUABQAAAAIAIdO4kCPdkp10QEAAI4DAAAOAAAAAAAAAAEAIAAA&#10;ACUBAABkcnMvZTJvRG9jLnhtbFBLBQYAAAAABgAGAFkBAABoBQAAAAA=&#10;">
              <v:fill on="t" focussize="0,0"/>
              <v:stroke on="f"/>
              <v:imagedata o:title=""/>
              <o:lock v:ext="edit" aspectratio="f"/>
              <v:textbox>
                <w:txbxContent>
                  <w:p>
                    <w:r>
                      <w:rPr>
                        <w:rFonts w:hint="eastAsia"/>
                        <w:sz w:val="18"/>
                        <w:szCs w:val="18"/>
                      </w:rPr>
                      <w:t>ISC-B-I-19 管理体系审核记录表(03版)</w:t>
                    </w:r>
                  </w:p>
                </w:txbxContent>
              </v:textbox>
            </v:shape>
          </w:pict>
        </mc:Fallback>
      </mc:AlternateContent>
    </w:r>
    <w:r>
      <w:rPr>
        <w:rStyle w:val="17"/>
        <w:rFonts w:hint="default"/>
      </w:rPr>
      <w:t xml:space="preserve">        </w:t>
    </w:r>
    <w:r>
      <w:rPr>
        <w:rStyle w:val="17"/>
        <w:rFonts w:hint="default"/>
        <w:w w:val="90"/>
      </w:rPr>
      <w:t>Beijing International Standard united Certification Co.,Ltd.</w:t>
    </w:r>
    <w:r>
      <w:rPr>
        <w:rStyle w:val="17"/>
        <w:rFonts w:hint="default"/>
        <w:w w:val="90"/>
        <w:szCs w:val="21"/>
      </w:rPr>
      <w:t xml:space="preserve">  </w:t>
    </w:r>
    <w:r>
      <w:rPr>
        <w:rStyle w:val="17"/>
        <w:rFonts w:hint="default"/>
        <w:w w:val="90"/>
        <w:sz w:val="20"/>
      </w:rPr>
      <w:t xml:space="preserve"> </w:t>
    </w:r>
    <w:r>
      <w:rPr>
        <w:rStyle w:val="17"/>
        <w:rFonts w:hint="default"/>
        <w:w w:val="90"/>
      </w:rPr>
      <w:t xml:space="preserve">                   </w:t>
    </w: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ED57DC"/>
    <w:multiLevelType w:val="singleLevel"/>
    <w:tmpl w:val="C2ED57DC"/>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237F6"/>
    <w:rsid w:val="0003373A"/>
    <w:rsid w:val="000A7775"/>
    <w:rsid w:val="000D7C7B"/>
    <w:rsid w:val="001631E6"/>
    <w:rsid w:val="001A2D7F"/>
    <w:rsid w:val="001A3719"/>
    <w:rsid w:val="002448DB"/>
    <w:rsid w:val="00262E34"/>
    <w:rsid w:val="00337922"/>
    <w:rsid w:val="00340867"/>
    <w:rsid w:val="00380837"/>
    <w:rsid w:val="00381A85"/>
    <w:rsid w:val="003A198A"/>
    <w:rsid w:val="003A1BDA"/>
    <w:rsid w:val="00410914"/>
    <w:rsid w:val="004872EA"/>
    <w:rsid w:val="004D16F3"/>
    <w:rsid w:val="00536930"/>
    <w:rsid w:val="00564772"/>
    <w:rsid w:val="00564E53"/>
    <w:rsid w:val="0059008D"/>
    <w:rsid w:val="006122CC"/>
    <w:rsid w:val="00644FE2"/>
    <w:rsid w:val="0067640C"/>
    <w:rsid w:val="006E678B"/>
    <w:rsid w:val="007757F3"/>
    <w:rsid w:val="007E6AEB"/>
    <w:rsid w:val="00813D89"/>
    <w:rsid w:val="008973EE"/>
    <w:rsid w:val="009043C9"/>
    <w:rsid w:val="00933C04"/>
    <w:rsid w:val="00950F34"/>
    <w:rsid w:val="00971600"/>
    <w:rsid w:val="009973B4"/>
    <w:rsid w:val="009C28C1"/>
    <w:rsid w:val="009C4BDC"/>
    <w:rsid w:val="009F7EED"/>
    <w:rsid w:val="00A140C8"/>
    <w:rsid w:val="00A55BA0"/>
    <w:rsid w:val="00A60FF4"/>
    <w:rsid w:val="00AA010F"/>
    <w:rsid w:val="00AB05D9"/>
    <w:rsid w:val="00AE4CEF"/>
    <w:rsid w:val="00AF0AAB"/>
    <w:rsid w:val="00AF0F5F"/>
    <w:rsid w:val="00B2236A"/>
    <w:rsid w:val="00BE0B6F"/>
    <w:rsid w:val="00BE6D77"/>
    <w:rsid w:val="00BF597E"/>
    <w:rsid w:val="00C179A0"/>
    <w:rsid w:val="00C3466C"/>
    <w:rsid w:val="00C51A36"/>
    <w:rsid w:val="00C55228"/>
    <w:rsid w:val="00CB7183"/>
    <w:rsid w:val="00CD700F"/>
    <w:rsid w:val="00CE315A"/>
    <w:rsid w:val="00D00BF7"/>
    <w:rsid w:val="00D06F59"/>
    <w:rsid w:val="00D70962"/>
    <w:rsid w:val="00D8388C"/>
    <w:rsid w:val="00DF3A13"/>
    <w:rsid w:val="00E3710F"/>
    <w:rsid w:val="00E63848"/>
    <w:rsid w:val="00E64F4C"/>
    <w:rsid w:val="00E87409"/>
    <w:rsid w:val="00E95ADD"/>
    <w:rsid w:val="00EB0164"/>
    <w:rsid w:val="00EC0BDA"/>
    <w:rsid w:val="00ED0F62"/>
    <w:rsid w:val="00ED1DEA"/>
    <w:rsid w:val="00F564E3"/>
    <w:rsid w:val="00FC5290"/>
    <w:rsid w:val="01CE252F"/>
    <w:rsid w:val="028F746E"/>
    <w:rsid w:val="0320505F"/>
    <w:rsid w:val="038B12E8"/>
    <w:rsid w:val="04510B7D"/>
    <w:rsid w:val="053B3828"/>
    <w:rsid w:val="08325A2B"/>
    <w:rsid w:val="08370D1F"/>
    <w:rsid w:val="08E60B71"/>
    <w:rsid w:val="0998237F"/>
    <w:rsid w:val="0A7E0BF2"/>
    <w:rsid w:val="0A8D103E"/>
    <w:rsid w:val="0ACE1CBC"/>
    <w:rsid w:val="0AF9100B"/>
    <w:rsid w:val="0B40074F"/>
    <w:rsid w:val="0B5F07F0"/>
    <w:rsid w:val="0C1869EC"/>
    <w:rsid w:val="0D0575C8"/>
    <w:rsid w:val="0E891764"/>
    <w:rsid w:val="108219C2"/>
    <w:rsid w:val="108A0D67"/>
    <w:rsid w:val="11114BE3"/>
    <w:rsid w:val="117E71EC"/>
    <w:rsid w:val="12022B41"/>
    <w:rsid w:val="12984797"/>
    <w:rsid w:val="136314F4"/>
    <w:rsid w:val="136B4A65"/>
    <w:rsid w:val="14090FDB"/>
    <w:rsid w:val="14257908"/>
    <w:rsid w:val="142C576B"/>
    <w:rsid w:val="15093029"/>
    <w:rsid w:val="15377C33"/>
    <w:rsid w:val="15D53416"/>
    <w:rsid w:val="16766562"/>
    <w:rsid w:val="16975B5C"/>
    <w:rsid w:val="16F65808"/>
    <w:rsid w:val="16F701BD"/>
    <w:rsid w:val="192769F4"/>
    <w:rsid w:val="193A6BC1"/>
    <w:rsid w:val="19BD6015"/>
    <w:rsid w:val="1A98125D"/>
    <w:rsid w:val="1ACB7148"/>
    <w:rsid w:val="1B3E39A3"/>
    <w:rsid w:val="1B405BB2"/>
    <w:rsid w:val="1B6156B4"/>
    <w:rsid w:val="1B8E7524"/>
    <w:rsid w:val="1B9E43FA"/>
    <w:rsid w:val="1BEC3BF1"/>
    <w:rsid w:val="1D85741F"/>
    <w:rsid w:val="1DEC3618"/>
    <w:rsid w:val="1E2452AC"/>
    <w:rsid w:val="1E847499"/>
    <w:rsid w:val="1F055D14"/>
    <w:rsid w:val="1F1F7BA7"/>
    <w:rsid w:val="1FD7676E"/>
    <w:rsid w:val="20645DBC"/>
    <w:rsid w:val="20F318FD"/>
    <w:rsid w:val="22427534"/>
    <w:rsid w:val="2247120E"/>
    <w:rsid w:val="232C7DA3"/>
    <w:rsid w:val="23557E88"/>
    <w:rsid w:val="23BD2A38"/>
    <w:rsid w:val="274E61F5"/>
    <w:rsid w:val="2767752B"/>
    <w:rsid w:val="276A19C3"/>
    <w:rsid w:val="27DF7CD6"/>
    <w:rsid w:val="287944AC"/>
    <w:rsid w:val="29DD59F3"/>
    <w:rsid w:val="2A345F9F"/>
    <w:rsid w:val="2AB27A91"/>
    <w:rsid w:val="2AE31F3D"/>
    <w:rsid w:val="2C703113"/>
    <w:rsid w:val="2CBC747B"/>
    <w:rsid w:val="2CF92DED"/>
    <w:rsid w:val="2D1E46BC"/>
    <w:rsid w:val="2D9E3BA7"/>
    <w:rsid w:val="2EE93C61"/>
    <w:rsid w:val="2F296165"/>
    <w:rsid w:val="2FE3184E"/>
    <w:rsid w:val="2FE94A1B"/>
    <w:rsid w:val="2FEB299B"/>
    <w:rsid w:val="301F3057"/>
    <w:rsid w:val="31512AAC"/>
    <w:rsid w:val="318F2863"/>
    <w:rsid w:val="324B72DE"/>
    <w:rsid w:val="32691255"/>
    <w:rsid w:val="32C11AD5"/>
    <w:rsid w:val="33BD5FE1"/>
    <w:rsid w:val="34041CDB"/>
    <w:rsid w:val="3438524B"/>
    <w:rsid w:val="34446771"/>
    <w:rsid w:val="34B32935"/>
    <w:rsid w:val="357409A2"/>
    <w:rsid w:val="36D0749A"/>
    <w:rsid w:val="36E233B2"/>
    <w:rsid w:val="375F34D7"/>
    <w:rsid w:val="37855C88"/>
    <w:rsid w:val="389275AF"/>
    <w:rsid w:val="38DB3925"/>
    <w:rsid w:val="38F61C56"/>
    <w:rsid w:val="394F02D7"/>
    <w:rsid w:val="399468A8"/>
    <w:rsid w:val="39B5059B"/>
    <w:rsid w:val="3AD826FA"/>
    <w:rsid w:val="3B1A0AD2"/>
    <w:rsid w:val="3BAB2EF0"/>
    <w:rsid w:val="3BAE2F1D"/>
    <w:rsid w:val="3DAD6D4F"/>
    <w:rsid w:val="40285D69"/>
    <w:rsid w:val="407B2BB8"/>
    <w:rsid w:val="41842DAE"/>
    <w:rsid w:val="433F55FE"/>
    <w:rsid w:val="441A63F5"/>
    <w:rsid w:val="4468568E"/>
    <w:rsid w:val="456B1A4B"/>
    <w:rsid w:val="4592331F"/>
    <w:rsid w:val="45A71070"/>
    <w:rsid w:val="465B32B5"/>
    <w:rsid w:val="466F33FE"/>
    <w:rsid w:val="46855B80"/>
    <w:rsid w:val="46B44C6F"/>
    <w:rsid w:val="46FB49A0"/>
    <w:rsid w:val="48800E04"/>
    <w:rsid w:val="489C542B"/>
    <w:rsid w:val="48BF615B"/>
    <w:rsid w:val="494C5676"/>
    <w:rsid w:val="498C653B"/>
    <w:rsid w:val="4A5605B7"/>
    <w:rsid w:val="4ABE4B71"/>
    <w:rsid w:val="4AE61F15"/>
    <w:rsid w:val="4B0310A5"/>
    <w:rsid w:val="4B3D6B9A"/>
    <w:rsid w:val="4BB26385"/>
    <w:rsid w:val="4C473821"/>
    <w:rsid w:val="4C706F93"/>
    <w:rsid w:val="4CBC2CE0"/>
    <w:rsid w:val="4CCA512C"/>
    <w:rsid w:val="4D7A7CA7"/>
    <w:rsid w:val="4D943D2E"/>
    <w:rsid w:val="4DC2496A"/>
    <w:rsid w:val="4E2F1660"/>
    <w:rsid w:val="4E95570D"/>
    <w:rsid w:val="4EFF6994"/>
    <w:rsid w:val="4F9033C5"/>
    <w:rsid w:val="50886C2D"/>
    <w:rsid w:val="50C8292E"/>
    <w:rsid w:val="513D623F"/>
    <w:rsid w:val="51A736D9"/>
    <w:rsid w:val="5225118B"/>
    <w:rsid w:val="52390AC9"/>
    <w:rsid w:val="54686AA5"/>
    <w:rsid w:val="556326A0"/>
    <w:rsid w:val="55E74889"/>
    <w:rsid w:val="56135BAC"/>
    <w:rsid w:val="56390FCA"/>
    <w:rsid w:val="563932E5"/>
    <w:rsid w:val="56632FEA"/>
    <w:rsid w:val="56AA2E90"/>
    <w:rsid w:val="57AB6651"/>
    <w:rsid w:val="57B844D8"/>
    <w:rsid w:val="57DD54A8"/>
    <w:rsid w:val="58322D49"/>
    <w:rsid w:val="58445D7A"/>
    <w:rsid w:val="59A961B5"/>
    <w:rsid w:val="5A144EDF"/>
    <w:rsid w:val="5A526EF4"/>
    <w:rsid w:val="5AAA27E4"/>
    <w:rsid w:val="5AE377E7"/>
    <w:rsid w:val="5BCC76FD"/>
    <w:rsid w:val="5C1F288C"/>
    <w:rsid w:val="5DAB4DE2"/>
    <w:rsid w:val="5DAC4DCE"/>
    <w:rsid w:val="5DB54B80"/>
    <w:rsid w:val="5DE504C5"/>
    <w:rsid w:val="5E1C6CEB"/>
    <w:rsid w:val="5E4C0CEF"/>
    <w:rsid w:val="5EA12B9A"/>
    <w:rsid w:val="5ED74E33"/>
    <w:rsid w:val="611968AB"/>
    <w:rsid w:val="615659AA"/>
    <w:rsid w:val="62237915"/>
    <w:rsid w:val="62F01B62"/>
    <w:rsid w:val="637B00F8"/>
    <w:rsid w:val="64967279"/>
    <w:rsid w:val="65A34EED"/>
    <w:rsid w:val="65B47E80"/>
    <w:rsid w:val="661149EF"/>
    <w:rsid w:val="6612664F"/>
    <w:rsid w:val="66AE3671"/>
    <w:rsid w:val="66B7462A"/>
    <w:rsid w:val="67255814"/>
    <w:rsid w:val="67640CF7"/>
    <w:rsid w:val="68035B4A"/>
    <w:rsid w:val="681469EB"/>
    <w:rsid w:val="68902391"/>
    <w:rsid w:val="689919C6"/>
    <w:rsid w:val="69340B40"/>
    <w:rsid w:val="69B80EF7"/>
    <w:rsid w:val="6A23146B"/>
    <w:rsid w:val="6A5858C5"/>
    <w:rsid w:val="6A990FD8"/>
    <w:rsid w:val="6AC10938"/>
    <w:rsid w:val="6AFB70B8"/>
    <w:rsid w:val="6BD55427"/>
    <w:rsid w:val="6C045413"/>
    <w:rsid w:val="6C2C0AC7"/>
    <w:rsid w:val="6D53402F"/>
    <w:rsid w:val="6DD17233"/>
    <w:rsid w:val="6EA513E6"/>
    <w:rsid w:val="6F413765"/>
    <w:rsid w:val="700D5C7C"/>
    <w:rsid w:val="70204555"/>
    <w:rsid w:val="70795B8C"/>
    <w:rsid w:val="711B29C2"/>
    <w:rsid w:val="712C676E"/>
    <w:rsid w:val="72BA5E2F"/>
    <w:rsid w:val="72D147D2"/>
    <w:rsid w:val="73045EE1"/>
    <w:rsid w:val="7333596B"/>
    <w:rsid w:val="73787C5E"/>
    <w:rsid w:val="73A00EA2"/>
    <w:rsid w:val="743806D0"/>
    <w:rsid w:val="747C00ED"/>
    <w:rsid w:val="75A8368A"/>
    <w:rsid w:val="761F43CB"/>
    <w:rsid w:val="763134D5"/>
    <w:rsid w:val="76373F2B"/>
    <w:rsid w:val="77133744"/>
    <w:rsid w:val="77310DBF"/>
    <w:rsid w:val="77511E03"/>
    <w:rsid w:val="78741EB2"/>
    <w:rsid w:val="79356B38"/>
    <w:rsid w:val="798D20B8"/>
    <w:rsid w:val="79C329E1"/>
    <w:rsid w:val="7A627DAC"/>
    <w:rsid w:val="7A9C5201"/>
    <w:rsid w:val="7B201807"/>
    <w:rsid w:val="7B5C61FD"/>
    <w:rsid w:val="7B7B1F74"/>
    <w:rsid w:val="7BDA78C1"/>
    <w:rsid w:val="7C172E37"/>
    <w:rsid w:val="7C4566E1"/>
    <w:rsid w:val="7E333A5E"/>
    <w:rsid w:val="7E354DC1"/>
    <w:rsid w:val="7EBA4CE7"/>
    <w:rsid w:val="7F033C2C"/>
    <w:rsid w:val="7FFB073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3"/>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adjustRightInd w:val="0"/>
      <w:spacing w:line="360" w:lineRule="atLeast"/>
      <w:ind w:left="480"/>
      <w:textAlignment w:val="baseline"/>
    </w:pPr>
    <w:rPr>
      <w:kern w:val="0"/>
    </w:rPr>
  </w:style>
  <w:style w:type="paragraph" w:styleId="4">
    <w:name w:val="Body Text"/>
    <w:basedOn w:val="1"/>
    <w:unhideWhenUsed/>
    <w:qFormat/>
    <w:uiPriority w:val="0"/>
    <w:pPr>
      <w:spacing w:after="120"/>
    </w:pPr>
  </w:style>
  <w:style w:type="paragraph" w:styleId="5">
    <w:name w:val="Body Text Indent"/>
    <w:basedOn w:val="1"/>
    <w:qFormat/>
    <w:uiPriority w:val="0"/>
    <w:pPr>
      <w:ind w:firstLine="480" w:firstLineChars="200"/>
    </w:pPr>
    <w:rPr>
      <w:sz w:val="24"/>
    </w:rPr>
  </w:style>
  <w:style w:type="paragraph" w:styleId="6">
    <w:name w:val="Plain Text"/>
    <w:basedOn w:val="1"/>
    <w:unhideWhenUsed/>
    <w:qFormat/>
    <w:uiPriority w:val="0"/>
    <w:rPr>
      <w:rFonts w:ascii="宋体" w:hAnsi="Courier New"/>
    </w:rPr>
  </w:style>
  <w:style w:type="paragraph" w:styleId="7">
    <w:name w:val="Balloon Text"/>
    <w:basedOn w:val="1"/>
    <w:link w:val="16"/>
    <w:unhideWhenUsed/>
    <w:qFormat/>
    <w:uiPriority w:val="99"/>
    <w:rPr>
      <w:sz w:val="18"/>
      <w:szCs w:val="18"/>
    </w:rPr>
  </w:style>
  <w:style w:type="paragraph" w:styleId="8">
    <w:name w:val="footer"/>
    <w:basedOn w:val="1"/>
    <w:link w:val="15"/>
    <w:unhideWhenUsed/>
    <w:qFormat/>
    <w:uiPriority w:val="99"/>
    <w:pPr>
      <w:tabs>
        <w:tab w:val="center" w:pos="4153"/>
        <w:tab w:val="right" w:pos="8306"/>
      </w:tabs>
      <w:snapToGrid w:val="0"/>
      <w:jc w:val="left"/>
    </w:pPr>
    <w:rPr>
      <w:sz w:val="18"/>
      <w:szCs w:val="18"/>
    </w:rPr>
  </w:style>
  <w:style w:type="paragraph" w:styleId="9">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表格文字"/>
    <w:basedOn w:val="1"/>
    <w:qFormat/>
    <w:uiPriority w:val="0"/>
    <w:pPr>
      <w:spacing w:before="25" w:after="25"/>
    </w:pPr>
    <w:rPr>
      <w:bCs/>
      <w:spacing w:val="10"/>
    </w:rPr>
  </w:style>
  <w:style w:type="character" w:customStyle="1" w:styleId="14">
    <w:name w:val="页眉 字符"/>
    <w:basedOn w:val="12"/>
    <w:link w:val="9"/>
    <w:qFormat/>
    <w:uiPriority w:val="99"/>
    <w:rPr>
      <w:rFonts w:ascii="Times New Roman" w:hAnsi="Times New Roman" w:eastAsia="宋体" w:cs="Times New Roman"/>
      <w:sz w:val="18"/>
      <w:szCs w:val="18"/>
    </w:rPr>
  </w:style>
  <w:style w:type="character" w:customStyle="1" w:styleId="15">
    <w:name w:val="页脚 字符"/>
    <w:basedOn w:val="12"/>
    <w:link w:val="8"/>
    <w:qFormat/>
    <w:uiPriority w:val="99"/>
    <w:rPr>
      <w:rFonts w:ascii="Times New Roman" w:hAnsi="Times New Roman" w:eastAsia="宋体" w:cs="Times New Roman"/>
      <w:sz w:val="18"/>
      <w:szCs w:val="18"/>
    </w:rPr>
  </w:style>
  <w:style w:type="character" w:customStyle="1" w:styleId="16">
    <w:name w:val="批注框文本 字符"/>
    <w:basedOn w:val="12"/>
    <w:link w:val="7"/>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 w:type="paragraph" w:customStyle="1" w:styleId="18">
    <w:name w:val="_Style 2"/>
    <w:basedOn w:val="1"/>
    <w:qFormat/>
    <w:uiPriority w:val="34"/>
    <w:pPr>
      <w:ind w:firstLine="420" w:firstLineChars="200"/>
    </w:pPr>
    <w:rPr>
      <w:rFonts w:ascii="Calibri" w:hAnsi="Calibri"/>
      <w:szCs w:val="22"/>
    </w:rPr>
  </w:style>
  <w:style w:type="paragraph" w:customStyle="1" w:styleId="19">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1727</Words>
  <Characters>9846</Characters>
  <Lines>82</Lines>
  <Paragraphs>23</Paragraphs>
  <TotalTime>0</TotalTime>
  <ScaleCrop>false</ScaleCrop>
  <LinksUpToDate>false</LinksUpToDate>
  <CharactersWithSpaces>11550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郭力</cp:lastModifiedBy>
  <dcterms:modified xsi:type="dcterms:W3CDTF">2021-09-13T14:41:23Z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025AF7A6A97542E99324E9C3506ED1FA</vt:lpwstr>
  </property>
</Properties>
</file>