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after="0" w:line="360" w:lineRule="auto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过程与活动、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涉及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受审核部门：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采购部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主管领导：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李宁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陪同人员：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郑莹玉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审核员：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郭力           审核时间：2021.9.2</w:t>
            </w:r>
          </w:p>
        </w:tc>
        <w:tc>
          <w:tcPr>
            <w:tcW w:w="158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审核条款：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QMS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 xml:space="preserve">5.3、6.2、8.4    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EMS：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5.3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6.2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6.1.2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8.1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8.2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组织的岗位、职责权限；目标、方案；环境因素识别评价；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采购控制、采购合同评审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合格供方名录、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运行控制；应急准备和响应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；</w:t>
            </w:r>
            <w:bookmarkStart w:id="0" w:name="_GoBack"/>
            <w:bookmarkEnd w:id="0"/>
          </w:p>
        </w:tc>
        <w:tc>
          <w:tcPr>
            <w:tcW w:w="158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组织的岗位、职责和权限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5.3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0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人员和岗位设置：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部门共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人、其中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正副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主管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1名、其他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文员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主要工作职责和权限：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负责全院物资采购工作。负责对全院各种物资的采购，包括药品、医疗器械、后勤物资、食堂物资等。通过公平竞价、定点采购、网上采购等多种方式组织采购。严把采购质量关，认真审核并确认供货单位的相关资质材料和营业执照，确保供货企业、品种、规格、数量、价格、供应（配送）方式和其他约定，力求质优价廉、供货及时，签订购销合同,确保供应商的到货及时率。严格执行采购物资入库制度，采购物资到货后，必须与物资院办共同办理验收入库手续。供应商的开发、考核、评估；询价、比价、议价工作的执行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负责对化学品供方的环境条件作审查确认；确定所采购医疗对环境的影响，采购对环境危害小的材料，向供应商索取化学危险品的MSDS资料。对供应商要求其在运输化学危险品时应遵守《化学危险品安全管理条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E职责和权限：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 xml:space="preserve">按照公司环境和职业健康安全要求操作、参与环境因素评价、负责日常环境和安全检查、本部门的环境和安全的培训和教育宣传、不符合的调查和原因分析和纠正及纠正措施和预防措施的实施检查；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未设置环境安全员、日常环安检查由院办统一管理；</w:t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环境因素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E6.1.2</w:t>
            </w: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策划、编制了《环境因素辨别和评价控制程序》，经文审符合标准要求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由综合办公室组织进行了环境因素识别评价。本部门评价的重要环境因素：生活和医疗服务提供过程固体废弃物的排放；潜在火灾。评价准确。</w:t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质量目标及其实现的策划</w:t>
            </w: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QE6.2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部门的质量、环境目标及完成情况为：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采购部：目标                完成情况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药品采购及时率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≥98%          100%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固体废弃物有效处理率100%    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100%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文件受控率100%  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 xml:space="preserve">            100%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火灾事故发生率0次/年              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考核日期：2021年9月1日       考核人：符孝勇</w:t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外部提供过程、产品和服务的控制</w:t>
            </w:r>
          </w:p>
        </w:tc>
        <w:tc>
          <w:tcPr>
            <w:tcW w:w="960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8.4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0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firstLine="420" w:firstLineChars="200"/>
              <w:textAlignment w:val="auto"/>
              <w:rPr>
                <w:rFonts w:ascii="宋体" w:hAnsi="宋体" w:cs="Calibri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</w:rPr>
              <w:t>经查：公司编制了“</w:t>
            </w:r>
            <w:r>
              <w:rPr>
                <w:rFonts w:hint="eastAsia" w:ascii="Calibri" w:hAnsi="Calibri" w:cs="Calibri"/>
                <w:color w:val="auto"/>
                <w:sz w:val="21"/>
                <w:szCs w:val="21"/>
                <w:lang w:eastAsia="zh-CN"/>
              </w:rPr>
              <w:t>医院供应商控制程序、医院药品采购控制程序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</w:rPr>
              <w:t>”，明确了对外部供方的控制</w:t>
            </w:r>
            <w:r>
              <w:rPr>
                <w:rFonts w:hint="eastAsia" w:ascii="Calibri" w:hAnsi="Calibri" w:cs="Calibri"/>
                <w:color w:val="auto"/>
                <w:sz w:val="21"/>
                <w:szCs w:val="21"/>
              </w:rPr>
              <w:t>类型和程度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</w:rPr>
              <w:t>，对外部供方提供的过程、产品和服务实施的控制方法。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firstLine="420" w:firstLineChars="20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Calibri"/>
                <w:color w:val="auto"/>
                <w:sz w:val="21"/>
                <w:szCs w:val="21"/>
              </w:rPr>
              <w:t>公司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</w:rPr>
              <w:t>Q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E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</w:rPr>
              <w:t>:内科、外科、医疗美容科、肿瘤科、麻醉科、医学检验科、医学影像科的医疗服务</w:t>
            </w:r>
            <w:r>
              <w:rPr>
                <w:rFonts w:hint="eastAsia" w:ascii="Calibri" w:hAnsi="宋体" w:cs="Calibri"/>
                <w:color w:val="auto"/>
                <w:sz w:val="21"/>
                <w:szCs w:val="21"/>
              </w:rPr>
              <w:t>涉及的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</w:rPr>
              <w:t>外部供方提供的过程、产品和服务，主要包括：采购的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药品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医疗器械以及配套服务等</w:t>
            </w:r>
            <w:r>
              <w:rPr>
                <w:rFonts w:hint="eastAsia" w:ascii="宋体" w:hAnsi="宋体" w:cs="Calibri"/>
                <w:color w:val="auto"/>
                <w:sz w:val="21"/>
                <w:szCs w:val="21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编制了《合格供应商名录》（48个）包括采购产品物料、供方名称、地址联系方式等信息；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抽查1条年度评价、提供了《供应商评估表》“海南成美药业有限公司”、评价内容包括“设备到货及时率、现场交验、质量符合率”等；有院办医疗科教部采购部等审批部门经理 签字信息；查评价周期 一年1次；提供《海南济民博鳌国际医院有限公司供应商考评表(1月份）》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包括48家供方的产品、品质（质量、问题、环保）、交付、服务、价格等；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编制了《采购管理制度》、《物资（非固定资产）采购流程图》、《物资退库流程》、等若干；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抽查1条采购流程（含采购合同）、提供《博鳌国际医院采购申请单》（0000000328#、2020.11.24）、申请采购药物6种、供方澳大利亚德国拜耳江西等、有数量和价格等信息、申请人林蝶批准王忠伟（签字）；另查0000000332@317、2020.11.25@10、采购药品4@7项、与编审批符合规定；提供《药品入库单》（0000002830）日期2021.3.11、有药品名称数量规格内容、邓主管批准采购李宁（签字）；查药品验证、药品到货后由本部门人员拆封检查药品数量规格等信息、另查合格信息、提供《药品检验报告》（3003648163）、盐酸丁卡因胶浆、有检验参数指标信息显示合格、厂家盖章；另查厂家《出库随货同行单》（3003648163）、有品名熟练规格等信息厂家盖章；另抽查几份检验报告、《国药汕头金石产检验报告单》（JS-SOR/ZL-9025-03）\2020.4.10、公司签章、责任人黄海洲签字；《齐鲁药业检验报告书》（B0320052201）、日期2020.5.21.、检验项目合格、公司签章；《西安杨森  质量证书》（C200195824）、有效期至2022.12、检验项目合格、有海南九州药业签章信息；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现场审核药房药品储存情况、有药品库规章制度示墙、另有“检验区”标识及检验工作台、药品检验查合格证数量保质期等、库房药品堆放分门别类、有名称和批次标识、危险药品（精神类）在里面的小间存放、防盗门上锁、内有保险柜加密存放这类药物、防止泄露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查办公用品库房、堆放一些打印纸墨盒硒鼓等物品、有部分新购医疗仪器——库房均有台账、出入登记造册、责任人签字；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1612900" cy="2150745"/>
                  <wp:effectExtent l="0" t="0" r="0" b="825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</w:rPr>
              <w:drawing>
                <wp:inline distT="0" distB="0" distL="114300" distR="114300">
                  <wp:extent cx="1574165" cy="2099945"/>
                  <wp:effectExtent l="0" t="0" r="635" b="825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</w:rPr>
              <w:drawing>
                <wp:inline distT="0" distB="0" distL="114300" distR="114300">
                  <wp:extent cx="1534795" cy="2047240"/>
                  <wp:effectExtent l="0" t="0" r="1905" b="1016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</w:rPr>
              <w:drawing>
                <wp:inline distT="0" distB="0" distL="114300" distR="114300">
                  <wp:extent cx="1553845" cy="2071370"/>
                  <wp:effectExtent l="0" t="0" r="8255" b="1143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sz w:val="21"/>
                <w:szCs w:val="21"/>
              </w:rPr>
              <w:drawing>
                <wp:inline distT="0" distB="0" distL="114300" distR="114300">
                  <wp:extent cx="1562735" cy="2083435"/>
                  <wp:effectExtent l="0" t="0" r="12065" b="12065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sz w:val="21"/>
                <w:szCs w:val="21"/>
              </w:rPr>
              <w:drawing>
                <wp:inline distT="0" distB="0" distL="114300" distR="114300">
                  <wp:extent cx="1584960" cy="2113915"/>
                  <wp:effectExtent l="0" t="0" r="2540" b="6985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sz w:val="21"/>
                <w:szCs w:val="21"/>
              </w:rPr>
              <w:drawing>
                <wp:inline distT="0" distB="0" distL="114300" distR="114300">
                  <wp:extent cx="1575435" cy="2101215"/>
                  <wp:effectExtent l="0" t="0" r="12065" b="6985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</w:rPr>
              <w:drawing>
                <wp:inline distT="0" distB="0" distL="114300" distR="114300">
                  <wp:extent cx="1588135" cy="2117090"/>
                  <wp:effectExtent l="0" t="0" r="12065" b="3810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211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药房温度湿度测试记录、结果显示“合格”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1315085" cy="1753870"/>
                  <wp:effectExtent l="0" t="0" r="5715" b="1143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sz w:val="21"/>
                <w:szCs w:val="21"/>
              </w:rPr>
              <w:drawing>
                <wp:inline distT="0" distB="0" distL="114300" distR="114300">
                  <wp:extent cx="2350135" cy="1762760"/>
                  <wp:effectExtent l="0" t="0" r="12065" b="2540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sz w:val="21"/>
                <w:szCs w:val="21"/>
              </w:rPr>
              <w:drawing>
                <wp:inline distT="0" distB="0" distL="114300" distR="114300">
                  <wp:extent cx="1330325" cy="1774190"/>
                  <wp:effectExtent l="0" t="0" r="3175" b="3810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处方——药房根据医生要求拿药。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查危化品库、在再生医学实验室内、有安全防盗措施、双保险柜分别存放少量无水乙醇、氯仿等溶剂、现场有《危险品保管人员职责》、《剧毒化学试剂管理规定》、《生物安全管理规定》等示墙、提供《有毒试剂领用登记》、《有毒试剂入库登记表》、另有“生活垃圾”、“医疗废物”收集箱做到垃圾分类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332230" cy="1776095"/>
                  <wp:effectExtent l="0" t="0" r="1270" b="1905"/>
                  <wp:docPr id="3" name="图片 3" descr="d26ebbc3f13e7da32f34b8385952b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26ebbc3f13e7da32f34b8385952bc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344930" cy="1793240"/>
                  <wp:effectExtent l="0" t="0" r="1270" b="10160"/>
                  <wp:docPr id="4" name="图片 4" descr="f511195b1e10b0afa181ce62f5a2f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511195b1e10b0afa181ce62f5a2ff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313180" cy="1782445"/>
                  <wp:effectExtent l="0" t="0" r="7620" b="8255"/>
                  <wp:docPr id="5" name="图片 5" descr="c6fc4e678e0bd6a1ac5201d7346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6fc4e678e0bd6a1ac5201d734658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675765" cy="1814830"/>
                  <wp:effectExtent l="0" t="0" r="635" b="1270"/>
                  <wp:docPr id="6" name="图片 6" descr="6b56e58a12ac13c9f63e069def5e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b56e58a12ac13c9f63e069def5e8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5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0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运行策划和控制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E8.1 </w:t>
            </w: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管理者代表指导综合办公室组织相关部门对医疗服务实现、环境运行控制所需的过程及子过程的顺序和相互关系进行策划，并对服务提供的过程、重要环境因素有关的运行和活动进行控制，确保管理方针、目标、指标的实现。策划确定下列内容：a）应达到的质量、环境目标、指标要求；b）针对服务确定过程及重要环境因素，并建立销售服务所需要的文件，以及所需提供的资源和设施；c）依据服务实现过程和活动的特点，确定验证、确认、监视、测量和检验需求的活动以及接收准则；d）保存服务实现过程和活动满足规定要求的记录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识别确定已纳入计划或新的开发、新的或修改的活动、产品和服务过程的环境因素：确定这些改变带来的具有、或可能具有重大影响的因素（重要环境因素）并建立控制的记录；确定运行控制的程序或建立新的目标和指标；对涉及到的间接重要环境因素通报给供方及合同方；建立应急准备与相应控制机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本部门的重要环境因素为重要环境因素：1、办公过程中产生的废弃物的排放；2潜在火灾。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按公司要求人走关灯，办公室内电脑要求人走后电源切断。办公室内垃圾主要包含可回收垃圾、硒鼓、废纸。公司配置了垃圾箱，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后勤部</w:t>
            </w:r>
            <w:r>
              <w:rPr>
                <w:rFonts w:hint="eastAsia" w:ascii="宋体" w:hAnsi="宋体"/>
                <w:szCs w:val="21"/>
              </w:rPr>
              <w:t>统一处理。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生活污水排入市政污水管网。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办公区</w:t>
            </w:r>
            <w:r>
              <w:rPr>
                <w:rFonts w:hint="eastAsia" w:ascii="宋体" w:hAnsi="宋体"/>
                <w:szCs w:val="21"/>
              </w:rPr>
              <w:t>内主要是电的使用，电器有漏电保护器，经常对电路、电源进行检查，没有露电现象发生。现场巡视办公区域消防栓、灭火器正常，电线、电气插座完整，未见破损。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运行策划和控制符合要求；</w:t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  <w:r>
              <w:rPr>
                <w:rFonts w:hint="default"/>
                <w:color w:val="auto"/>
                <w:lang w:val="en-US" w:eastAsia="zh-CN"/>
              </w:rPr>
              <w:t>应急准备和响应</w:t>
            </w: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E8.2</w:t>
            </w:r>
          </w:p>
        </w:tc>
        <w:tc>
          <w:tcPr>
            <w:tcW w:w="10004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提供2021年8月1日发布的最新版《博鳌国际医院应急预案汇编》，包含环境相关的应急预案：突发水质污染事故应急预案、突发环境事件应急预案等，有组织人员结构、人员组成、通讯联络、应急物资准备、应急处置程序、注意事项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提供</w:t>
            </w: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《消防演习总结报告》，有演习项目：灭火、逃生自救，地点：运营部，时间：2020年12月11日。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有演练过程记录，演练存在的问题及整改措施等。有火灾应急响应演练评审，对演练中发现的问题要求整改。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提供</w:t>
            </w: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《污水排放失控预案记录》，有演习项目：演练实施情况记录：时间：2021年1月8日-9日。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有演练过程记录，演练存在的问题及整改措施</w:t>
            </w:r>
            <w:r>
              <w:rPr>
                <w:rFonts w:hint="eastAsia"/>
                <w:color w:val="auto"/>
                <w:lang w:val="en-US" w:eastAsia="zh-CN"/>
              </w:rPr>
              <w:t>等。有火灾应急响应演练评审，对演练中发现的问题要求整改。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医院在大楼各楼层配置了消防设施设备，包含：消防栓、灭火器、报警器、防火卷闸门、烟感系统，园区建设了地下消防用水，各项设施设备的均有日常检查，能够保持正常使用。</w:t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</w:tbl>
    <w:p>
      <w:pPr>
        <w:rPr>
          <w:rFonts w:hint="eastAsia" w:eastAsia="宋体"/>
          <w:lang w:eastAsia="zh-CN"/>
        </w:rPr>
      </w:pPr>
    </w:p>
    <w:p>
      <w:pPr>
        <w:pStyle w:val="4"/>
      </w:pPr>
      <w:r>
        <w:rPr>
          <w:rFonts w:hint="eastAsia"/>
        </w:rPr>
        <w:t>说明：不符合标注N</w:t>
      </w:r>
    </w:p>
    <w:sectPr>
      <w:headerReference r:id="rId5" w:type="default"/>
      <w:footerReference r:id="rId6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5C3005"/>
    <w:rsid w:val="02705AC4"/>
    <w:rsid w:val="02CB258B"/>
    <w:rsid w:val="03D76CAF"/>
    <w:rsid w:val="04056E85"/>
    <w:rsid w:val="045F01C0"/>
    <w:rsid w:val="048D78E1"/>
    <w:rsid w:val="04BF1309"/>
    <w:rsid w:val="04C17514"/>
    <w:rsid w:val="059371B7"/>
    <w:rsid w:val="05DC4C53"/>
    <w:rsid w:val="06A65739"/>
    <w:rsid w:val="09BC3590"/>
    <w:rsid w:val="0A1F31E5"/>
    <w:rsid w:val="0A516C92"/>
    <w:rsid w:val="0A950215"/>
    <w:rsid w:val="0A966260"/>
    <w:rsid w:val="0AC94CC8"/>
    <w:rsid w:val="0AFD7CD3"/>
    <w:rsid w:val="0BB76CB1"/>
    <w:rsid w:val="0BFC7ED7"/>
    <w:rsid w:val="0CFC0675"/>
    <w:rsid w:val="0D8A65DC"/>
    <w:rsid w:val="0ED87B3E"/>
    <w:rsid w:val="0FA445F8"/>
    <w:rsid w:val="10493650"/>
    <w:rsid w:val="125A0A30"/>
    <w:rsid w:val="143A1E94"/>
    <w:rsid w:val="153065CD"/>
    <w:rsid w:val="15586625"/>
    <w:rsid w:val="16732B50"/>
    <w:rsid w:val="174C7A9C"/>
    <w:rsid w:val="17DA7C79"/>
    <w:rsid w:val="17EF3D89"/>
    <w:rsid w:val="18810648"/>
    <w:rsid w:val="18CB68F2"/>
    <w:rsid w:val="18EF45B2"/>
    <w:rsid w:val="1B022812"/>
    <w:rsid w:val="1B552E08"/>
    <w:rsid w:val="1C8353EF"/>
    <w:rsid w:val="1DAE2899"/>
    <w:rsid w:val="1DFB63E7"/>
    <w:rsid w:val="1F2730DD"/>
    <w:rsid w:val="1F590D2E"/>
    <w:rsid w:val="20F42899"/>
    <w:rsid w:val="219C47C1"/>
    <w:rsid w:val="23101321"/>
    <w:rsid w:val="2322691A"/>
    <w:rsid w:val="23686257"/>
    <w:rsid w:val="238E71D2"/>
    <w:rsid w:val="24F059E1"/>
    <w:rsid w:val="24F820FF"/>
    <w:rsid w:val="277D4F16"/>
    <w:rsid w:val="27FD3C90"/>
    <w:rsid w:val="2A293019"/>
    <w:rsid w:val="2A4E0554"/>
    <w:rsid w:val="2ADC07A7"/>
    <w:rsid w:val="2C03655D"/>
    <w:rsid w:val="2D7B57B5"/>
    <w:rsid w:val="2F18743F"/>
    <w:rsid w:val="2FA447E0"/>
    <w:rsid w:val="319B6A18"/>
    <w:rsid w:val="33BE207D"/>
    <w:rsid w:val="33E3089B"/>
    <w:rsid w:val="36B91A5F"/>
    <w:rsid w:val="371375C7"/>
    <w:rsid w:val="3A660128"/>
    <w:rsid w:val="3A677831"/>
    <w:rsid w:val="3A83028F"/>
    <w:rsid w:val="3A9734F6"/>
    <w:rsid w:val="3AB47DFF"/>
    <w:rsid w:val="3AE4509E"/>
    <w:rsid w:val="3DDC2A13"/>
    <w:rsid w:val="3E402718"/>
    <w:rsid w:val="3E614581"/>
    <w:rsid w:val="3EBB359C"/>
    <w:rsid w:val="41854055"/>
    <w:rsid w:val="41944A4C"/>
    <w:rsid w:val="425F59D6"/>
    <w:rsid w:val="49033EEB"/>
    <w:rsid w:val="498160A6"/>
    <w:rsid w:val="4A5F439F"/>
    <w:rsid w:val="4A755927"/>
    <w:rsid w:val="4B9E0705"/>
    <w:rsid w:val="4D171CB5"/>
    <w:rsid w:val="4FCF4841"/>
    <w:rsid w:val="50162AF2"/>
    <w:rsid w:val="50AA5B1B"/>
    <w:rsid w:val="517A3471"/>
    <w:rsid w:val="5335455E"/>
    <w:rsid w:val="5422016C"/>
    <w:rsid w:val="54263778"/>
    <w:rsid w:val="54644C45"/>
    <w:rsid w:val="555F2744"/>
    <w:rsid w:val="56546145"/>
    <w:rsid w:val="571D6075"/>
    <w:rsid w:val="58823BD0"/>
    <w:rsid w:val="59A27767"/>
    <w:rsid w:val="59C877AD"/>
    <w:rsid w:val="5A937B8A"/>
    <w:rsid w:val="5B5244F0"/>
    <w:rsid w:val="5B747BC6"/>
    <w:rsid w:val="5BDB01B3"/>
    <w:rsid w:val="5DD60FFD"/>
    <w:rsid w:val="5E524354"/>
    <w:rsid w:val="5F6C7545"/>
    <w:rsid w:val="5FA910CA"/>
    <w:rsid w:val="5FE761C9"/>
    <w:rsid w:val="61300A17"/>
    <w:rsid w:val="63087422"/>
    <w:rsid w:val="64410392"/>
    <w:rsid w:val="64BB3F84"/>
    <w:rsid w:val="64C42192"/>
    <w:rsid w:val="64D07EC8"/>
    <w:rsid w:val="657A30DF"/>
    <w:rsid w:val="65B1579F"/>
    <w:rsid w:val="661666E1"/>
    <w:rsid w:val="6685344C"/>
    <w:rsid w:val="674B7442"/>
    <w:rsid w:val="675D50B4"/>
    <w:rsid w:val="677B72F7"/>
    <w:rsid w:val="67F25DE4"/>
    <w:rsid w:val="6B0D4FF2"/>
    <w:rsid w:val="6B6240F0"/>
    <w:rsid w:val="6E362AA3"/>
    <w:rsid w:val="6F3C3C16"/>
    <w:rsid w:val="6FAF2FDA"/>
    <w:rsid w:val="6FBF55F2"/>
    <w:rsid w:val="70F41E38"/>
    <w:rsid w:val="72057436"/>
    <w:rsid w:val="731952BB"/>
    <w:rsid w:val="73E26097"/>
    <w:rsid w:val="74E8411A"/>
    <w:rsid w:val="770D4D0B"/>
    <w:rsid w:val="786F39E2"/>
    <w:rsid w:val="79362BBA"/>
    <w:rsid w:val="7D1B1D20"/>
    <w:rsid w:val="7E0B2EF3"/>
    <w:rsid w:val="7E2830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"/>
    <w:basedOn w:val="2"/>
    <w:unhideWhenUsed/>
    <w:qFormat/>
    <w:uiPriority w:val="99"/>
    <w:pPr>
      <w:ind w:firstLine="420" w:firstLineChars="100"/>
    </w:pPr>
  </w:style>
  <w:style w:type="paragraph" w:customStyle="1" w:styleId="9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character" w:customStyle="1" w:styleId="10">
    <w:name w:val="页眉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1</TotalTime>
  <ScaleCrop>false</ScaleCrop>
  <LinksUpToDate>false</LinksUpToDate>
  <CharactersWithSpaces>147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LIL</cp:lastModifiedBy>
  <dcterms:modified xsi:type="dcterms:W3CDTF">2021-09-14T15:23:25Z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2052-11.1.0.10700</vt:lpwstr>
  </property>
</Properties>
</file>