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1"/>
                <w:szCs w:val="21"/>
              </w:rPr>
            </w:pPr>
            <w:r>
              <w:rPr>
                <w:rFonts w:hint="eastAsia"/>
                <w:sz w:val="21"/>
                <w:szCs w:val="21"/>
              </w:rPr>
              <w:t>过程与活动、</w:t>
            </w:r>
          </w:p>
          <w:p>
            <w:pPr>
              <w:jc w:val="center"/>
              <w:rPr>
                <w:sz w:val="21"/>
                <w:szCs w:val="21"/>
              </w:rPr>
            </w:pPr>
            <w:r>
              <w:rPr>
                <w:rFonts w:hint="eastAsia"/>
                <w:sz w:val="21"/>
                <w:szCs w:val="21"/>
              </w:rPr>
              <w:t>抽样计划</w:t>
            </w:r>
          </w:p>
        </w:tc>
        <w:tc>
          <w:tcPr>
            <w:tcW w:w="960" w:type="dxa"/>
            <w:vMerge w:val="restart"/>
            <w:vAlign w:val="center"/>
          </w:tcPr>
          <w:p>
            <w:pPr>
              <w:rPr>
                <w:sz w:val="21"/>
                <w:szCs w:val="21"/>
              </w:rPr>
            </w:pPr>
            <w:r>
              <w:rPr>
                <w:rFonts w:hint="eastAsia"/>
                <w:sz w:val="21"/>
                <w:szCs w:val="21"/>
              </w:rPr>
              <w:t>涉及</w:t>
            </w:r>
          </w:p>
          <w:p>
            <w:pPr>
              <w:rPr>
                <w:sz w:val="21"/>
                <w:szCs w:val="21"/>
              </w:rPr>
            </w:pPr>
            <w:r>
              <w:rPr>
                <w:rFonts w:hint="eastAsia"/>
                <w:sz w:val="21"/>
                <w:szCs w:val="21"/>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受审核部门：</w:t>
            </w:r>
            <w:r>
              <w:rPr>
                <w:rFonts w:hint="eastAsia" w:asciiTheme="minorEastAsia" w:hAnsiTheme="minorEastAsia" w:eastAsiaTheme="minorEastAsia" w:cstheme="minorEastAsia"/>
                <w:sz w:val="21"/>
                <w:szCs w:val="21"/>
                <w:lang w:val="en-US" w:eastAsia="zh-CN"/>
              </w:rPr>
              <w:t>综合办公室/</w:t>
            </w:r>
            <w:r>
              <w:rPr>
                <w:rFonts w:hint="eastAsia" w:asciiTheme="minorEastAsia" w:hAnsiTheme="minorEastAsia" w:eastAsiaTheme="minorEastAsia" w:cstheme="minorEastAsia"/>
                <w:sz w:val="21"/>
                <w:szCs w:val="21"/>
              </w:rPr>
              <w:t>人力资源部</w:t>
            </w:r>
            <w:r>
              <w:rPr>
                <w:rFonts w:hint="eastAsia" w:asciiTheme="minorEastAsia" w:hAnsiTheme="minorEastAsia" w:eastAsiaTheme="minorEastAsia" w:cstheme="minorEastAsia"/>
                <w:sz w:val="21"/>
                <w:szCs w:val="21"/>
                <w:lang w:val="en-US" w:eastAsia="zh-CN"/>
              </w:rPr>
              <w:t xml:space="preserve">（含财务） </w:t>
            </w:r>
            <w:r>
              <w:rPr>
                <w:rFonts w:hint="eastAsia" w:asciiTheme="minorEastAsia" w:hAnsiTheme="minorEastAsia" w:eastAsiaTheme="minorEastAsia" w:cstheme="minorEastAsia"/>
                <w:sz w:val="21"/>
                <w:szCs w:val="21"/>
              </w:rPr>
              <w:t>主管领导：代静</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王大敏、莫赜菠</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陪同人员：符孝勇</w:t>
            </w:r>
          </w:p>
        </w:tc>
        <w:tc>
          <w:tcPr>
            <w:tcW w:w="1585" w:type="dxa"/>
            <w:vMerge w:val="restart"/>
            <w:vAlign w:val="center"/>
          </w:tcPr>
          <w:p>
            <w:pPr>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sz w:val="21"/>
                <w:szCs w:val="21"/>
              </w:rPr>
            </w:pPr>
          </w:p>
        </w:tc>
        <w:tc>
          <w:tcPr>
            <w:tcW w:w="960" w:type="dxa"/>
            <w:vMerge w:val="continue"/>
            <w:vAlign w:val="center"/>
          </w:tcPr>
          <w:p>
            <w:pPr>
              <w:rPr>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审核员：</w:t>
            </w:r>
            <w:r>
              <w:rPr>
                <w:rFonts w:hint="eastAsia" w:asciiTheme="minorEastAsia" w:hAnsiTheme="minorEastAsia" w:eastAsiaTheme="minorEastAsia" w:cstheme="minorEastAsia"/>
                <w:sz w:val="21"/>
                <w:szCs w:val="21"/>
                <w:lang w:val="en-US" w:eastAsia="zh-CN"/>
              </w:rPr>
              <w:t>郭力                     审核时间：2021.9.1</w:t>
            </w:r>
          </w:p>
        </w:tc>
        <w:tc>
          <w:tcPr>
            <w:tcW w:w="1585" w:type="dxa"/>
            <w:vMerge w:val="continue"/>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1"/>
                <w:szCs w:val="21"/>
              </w:rPr>
            </w:pPr>
          </w:p>
        </w:tc>
        <w:tc>
          <w:tcPr>
            <w:tcW w:w="960" w:type="dxa"/>
            <w:vMerge w:val="continue"/>
            <w:vAlign w:val="center"/>
          </w:tcPr>
          <w:p>
            <w:pPr>
              <w:rPr>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rPr>
              <w:t>审核条款：</w:t>
            </w:r>
            <w:r>
              <w:rPr>
                <w:rFonts w:hint="eastAsia"/>
                <w:lang w:val="en-US" w:eastAsia="zh-CN"/>
              </w:rPr>
              <w:t xml:space="preserve"> </w:t>
            </w:r>
            <w:r>
              <w:rPr>
                <w:rFonts w:hint="default"/>
                <w:lang w:val="en-US" w:eastAsia="zh-CN"/>
              </w:rPr>
              <w:t>QMS</w:t>
            </w:r>
            <w:r>
              <w:rPr>
                <w:rFonts w:hint="eastAsia"/>
                <w:lang w:val="en-US" w:eastAsia="zh-CN"/>
              </w:rPr>
              <w:t>：5.3、6.1、6.2、7.1.2、7.1.6、7.2、7.3、7.4、7.5、9.1.1、9.1.3、9.2、10.2</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EMS：5.3、6.1.1、6.1.2、6.1.3、6.2、7.2、7.3、7.4、7.5、8.1、8.2、9.1.1、9.2、10.1、10.2</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textAlignment w:val="auto"/>
            </w:pPr>
            <w:r>
              <w:rPr>
                <w:rFonts w:hint="default" w:ascii="Times New Roman" w:hAnsi="Times New Roman" w:eastAsia="宋体" w:cs="Times New Roman"/>
                <w:color w:val="auto"/>
                <w:sz w:val="21"/>
                <w:szCs w:val="21"/>
              </w:rPr>
              <w:t>组织的岗位、职责权限；目标、方案；环境因素识别评价；合规义务；组织知识；人员</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能力；意识；沟通；文件化信息；文件总则、文件和记录控制；交付后活动；变更的控制；运行控制；应急准备和响应</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绩效的监视和测量；合规性评价；内部审核；不合格及纠正措施控制</w:t>
            </w:r>
            <w:r>
              <w:rPr>
                <w:rFonts w:hint="eastAsia" w:ascii="Times New Roman" w:hAnsi="Times New Roman" w:cs="Times New Roman"/>
                <w:color w:val="auto"/>
                <w:sz w:val="21"/>
                <w:szCs w:val="21"/>
                <w:lang w:eastAsia="zh-CN"/>
              </w:rPr>
              <w:t>；</w:t>
            </w:r>
          </w:p>
        </w:tc>
        <w:tc>
          <w:tcPr>
            <w:tcW w:w="1585" w:type="dxa"/>
            <w:vMerge w:val="continue"/>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组织的岗位、职责和权限</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宋体" w:hAnsi="宋体" w:eastAsia="宋体" w:cs="宋体"/>
                <w:color w:val="auto"/>
                <w:sz w:val="21"/>
                <w:szCs w:val="21"/>
                <w:lang w:val="en-US" w:eastAsia="zh-CN"/>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QE</w:t>
            </w:r>
            <w:r>
              <w:rPr>
                <w:rFonts w:hint="eastAsia" w:ascii="宋体" w:hAnsi="宋体" w:eastAsia="宋体" w:cs="宋体"/>
                <w:color w:val="auto"/>
                <w:sz w:val="21"/>
                <w:szCs w:val="21"/>
                <w:lang w:val="en-US" w:eastAsia="zh-CN"/>
              </w:rPr>
              <w:t xml:space="preserve">5.3 </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宋体" w:hAnsi="宋体" w:eastAsia="宋体" w:cs="宋体"/>
                <w:color w:val="auto"/>
                <w:sz w:val="21"/>
                <w:szCs w:val="21"/>
                <w:lang w:val="en-US" w:eastAsia="zh-CN"/>
              </w:rPr>
            </w:pPr>
          </w:p>
        </w:tc>
        <w:tc>
          <w:tcPr>
            <w:tcW w:w="10004"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u w:val="none"/>
                <w:lang w:val="en-US" w:eastAsia="zh-CN"/>
              </w:rPr>
            </w:pPr>
            <w:r>
              <w:rPr>
                <w:rFonts w:hint="eastAsia" w:ascii="宋体" w:hAnsi="宋体" w:eastAsia="宋体" w:cs="宋体"/>
                <w:color w:val="auto"/>
                <w:sz w:val="21"/>
                <w:szCs w:val="21"/>
                <w:lang w:val="en-US" w:eastAsia="zh-CN"/>
              </w:rPr>
              <w:t>人</w:t>
            </w:r>
            <w:r>
              <w:rPr>
                <w:rFonts w:hint="eastAsia" w:ascii="宋体" w:hAnsi="宋体" w:eastAsia="宋体" w:cs="宋体"/>
                <w:b w:val="0"/>
                <w:bCs w:val="0"/>
                <w:color w:val="auto"/>
                <w:sz w:val="21"/>
                <w:szCs w:val="21"/>
                <w:u w:val="none"/>
                <w:lang w:val="en-US" w:eastAsia="zh-CN"/>
              </w:rPr>
              <w:t>员和岗位设置：</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各部门人员包括主管领导3名、其他行政助理、人事专员、会计、出纳；</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主要</w:t>
            </w:r>
            <w:r>
              <w:rPr>
                <w:rFonts w:hint="eastAsia" w:ascii="宋体" w:hAnsi="宋体" w:cs="宋体"/>
                <w:b w:val="0"/>
                <w:bCs w:val="0"/>
                <w:color w:val="auto"/>
                <w:sz w:val="21"/>
                <w:szCs w:val="21"/>
                <w:u w:val="none"/>
                <w:lang w:val="en-US" w:eastAsia="zh-CN"/>
              </w:rPr>
              <w:t>Q</w:t>
            </w:r>
            <w:r>
              <w:rPr>
                <w:rFonts w:hint="eastAsia" w:ascii="宋体" w:hAnsi="宋体" w:eastAsia="宋体" w:cs="宋体"/>
                <w:b w:val="0"/>
                <w:bCs w:val="0"/>
                <w:color w:val="auto"/>
                <w:sz w:val="21"/>
                <w:szCs w:val="21"/>
                <w:u w:val="none"/>
                <w:lang w:val="en-US" w:eastAsia="zh-CN"/>
              </w:rPr>
              <w:t>工作内容和职责权限：</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综合办公室</w:t>
            </w:r>
            <w:r>
              <w:rPr>
                <w:rFonts w:hint="eastAsia" w:ascii="宋体" w:hAnsi="宋体" w:eastAsia="宋体" w:cs="宋体"/>
                <w:b w:val="0"/>
                <w:bCs w:val="0"/>
                <w:color w:val="auto"/>
                <w:sz w:val="21"/>
                <w:szCs w:val="21"/>
                <w:u w:val="none"/>
                <w:lang w:val="en-US" w:eastAsia="zh-CN"/>
              </w:rPr>
              <w:t>：</w:t>
            </w:r>
            <w:r>
              <w:rPr>
                <w:rFonts w:hint="eastAsia" w:ascii="宋体" w:hAnsi="宋体" w:cs="宋体"/>
                <w:b w:val="0"/>
                <w:bCs w:val="0"/>
                <w:color w:val="auto"/>
                <w:sz w:val="21"/>
                <w:szCs w:val="21"/>
                <w:u w:val="none"/>
                <w:lang w:val="en-US" w:eastAsia="zh-CN"/>
              </w:rPr>
              <w:t>行政办公、档案文件</w:t>
            </w:r>
            <w:r>
              <w:rPr>
                <w:rFonts w:hint="eastAsia" w:ascii="宋体" w:hAnsi="宋体" w:eastAsia="宋体" w:cs="宋体"/>
                <w:b w:val="0"/>
                <w:bCs w:val="0"/>
                <w:color w:val="auto"/>
                <w:sz w:val="21"/>
                <w:szCs w:val="21"/>
                <w:u w:val="none"/>
                <w:lang w:val="en-US" w:eastAsia="zh-CN"/>
              </w:rPr>
              <w:t>等；</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人力资源：</w:t>
            </w:r>
            <w:r>
              <w:rPr>
                <w:rFonts w:hint="eastAsia" w:ascii="宋体" w:hAnsi="宋体" w:cs="宋体"/>
                <w:b w:val="0"/>
                <w:bCs w:val="0"/>
                <w:color w:val="auto"/>
                <w:sz w:val="21"/>
                <w:szCs w:val="21"/>
                <w:u w:val="none"/>
                <w:lang w:val="en-US" w:eastAsia="zh-CN"/>
              </w:rPr>
              <w:t>人员招聘培训教育</w:t>
            </w:r>
            <w:r>
              <w:rPr>
                <w:rFonts w:hint="eastAsia" w:ascii="宋体" w:hAnsi="宋体" w:eastAsia="宋体" w:cs="宋体"/>
                <w:b w:val="0"/>
                <w:bCs w:val="0"/>
                <w:color w:val="auto"/>
                <w:sz w:val="21"/>
                <w:szCs w:val="21"/>
                <w:u w:val="none"/>
                <w:lang w:val="en-US" w:eastAsia="zh-CN"/>
              </w:rPr>
              <w:t>等；</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财务：负责本医院资金统筹、管理与运作。</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textAlignment w:val="auto"/>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E职责和权限：</w:t>
            </w:r>
          </w:p>
          <w:p>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 xml:space="preserve">按照公司环境和职业健康安全要求操作、参与危险源辨识和风险评价及环境因素评价、负责日常环境和安全检查、本部门的环境和安全的培训和教育宣传、不符合的调查和原因分析和纠正及纠正措施和预防措施的实施检查； </w:t>
            </w:r>
          </w:p>
          <w:p>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日常环安检查由</w:t>
            </w:r>
            <w:r>
              <w:rPr>
                <w:rFonts w:hint="eastAsia" w:ascii="宋体" w:hAnsi="宋体" w:cs="宋体"/>
                <w:color w:val="auto"/>
                <w:sz w:val="21"/>
                <w:szCs w:val="21"/>
                <w:lang w:val="en-US" w:eastAsia="zh-CN"/>
              </w:rPr>
              <w:t>综合办公室</w:t>
            </w:r>
            <w:r>
              <w:rPr>
                <w:rFonts w:hint="eastAsia" w:ascii="宋体" w:hAnsi="宋体" w:eastAsia="宋体" w:cs="宋体"/>
                <w:color w:val="auto"/>
                <w:sz w:val="21"/>
                <w:szCs w:val="21"/>
                <w:lang w:val="en-US" w:eastAsia="zh-CN"/>
              </w:rPr>
              <w:t>统一管理；</w:t>
            </w:r>
          </w:p>
        </w:tc>
        <w:tc>
          <w:tcPr>
            <w:tcW w:w="1585" w:type="dxa"/>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vAlign w:val="top"/>
          </w:tcPr>
          <w:p>
            <w:pPr>
              <w:spacing w:line="240" w:lineRule="auto"/>
              <w:rPr>
                <w:rFonts w:hint="eastAsia" w:asciiTheme="minorEastAsia" w:hAnsiTheme="minorEastAsia" w:eastAsiaTheme="minorEastAsia" w:cstheme="minorEastAsia"/>
                <w:sz w:val="21"/>
                <w:szCs w:val="21"/>
              </w:rPr>
            </w:pPr>
            <w:r>
              <w:rPr>
                <w:rFonts w:hint="eastAsia"/>
              </w:rPr>
              <w:t>应对风险和机遇的措施</w:t>
            </w:r>
          </w:p>
        </w:tc>
        <w:tc>
          <w:tcPr>
            <w:tcW w:w="960" w:type="dxa"/>
            <w:vAlign w:val="top"/>
          </w:tcPr>
          <w:p>
            <w:pPr>
              <w:spacing w:line="240" w:lineRule="auto"/>
              <w:rPr>
                <w:rFonts w:hint="eastAsia"/>
                <w:lang w:val="en-US" w:eastAsia="zh-CN"/>
              </w:rPr>
            </w:pPr>
            <w:r>
              <w:rPr>
                <w:rFonts w:hint="eastAsia"/>
                <w:lang w:val="en-US" w:eastAsia="zh-CN"/>
              </w:rPr>
              <w:t>Q6.1</w:t>
            </w:r>
          </w:p>
          <w:p>
            <w:pPr>
              <w:spacing w:line="240" w:lineRule="auto"/>
              <w:rPr>
                <w:rFonts w:hint="eastAsia" w:ascii="宋体" w:hAnsi="宋体" w:eastAsia="宋体" w:cs="宋体"/>
                <w:color w:val="auto"/>
                <w:sz w:val="21"/>
                <w:szCs w:val="21"/>
                <w:lang w:val="en-US" w:eastAsia="zh-CN"/>
              </w:rPr>
            </w:pPr>
            <w:r>
              <w:rPr>
                <w:rFonts w:hint="eastAsia"/>
                <w:lang w:val="en-US" w:eastAsia="zh-CN"/>
              </w:rPr>
              <w:t>E6.1.1</w:t>
            </w:r>
          </w:p>
        </w:tc>
        <w:tc>
          <w:tcPr>
            <w:tcW w:w="10004"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本院的风险和机遇为：</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1、人员素质不同，环保意识不强，对岗位环境因素认识不足，控制方法不明确；</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2、适用环境法律法规的识别、收集及宣传不够，相应公司内部活动及环境因素不够明确，部分员工守法意识淡薄；</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3、公司环保资质及设施较为齐全，但管理制度尚不够健全；</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4、在确定潜在的紧急情况不熟悉，例如：火灾发生；</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5、顾客对医疗服务质量和环保安全比较关注；</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6、未履行合规义务可损害组织的声誉或导致诉讼；</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7、附近设施，例如：道路的潜在紧急情况。</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控制措施：</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1、制定相应的管理文件，组织员工参与岗位环境因素的识别和评价；</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2、加强识别、收集、定期更新，重要条款予以培训或纳入制度中；</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3、建立健全环保制度，严格落实执行；</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4、制定应急预案，定期培训防火常识，定期防火演练；</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5、建立健全环保制度，严格落实执行；</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6、加大检测力度；</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7、加强对法律法规的执行力度，定期进行合规性评价；</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ascii="宋体" w:hAnsi="宋体" w:eastAsia="宋体" w:cs="宋体"/>
                <w:color w:val="auto"/>
                <w:sz w:val="21"/>
                <w:szCs w:val="21"/>
                <w:lang w:val="en-US" w:eastAsia="zh-CN"/>
              </w:rPr>
            </w:pPr>
            <w:r>
              <w:rPr>
                <w:rFonts w:hint="eastAsia"/>
                <w:lang w:val="en-US" w:eastAsia="zh-CN"/>
              </w:rPr>
              <w:t>8、加强外部沟通，加强环保意识，及应急情况通报。</w:t>
            </w:r>
          </w:p>
        </w:tc>
        <w:tc>
          <w:tcPr>
            <w:tcW w:w="1585" w:type="dxa"/>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2160" w:type="dxa"/>
            <w:vAlign w:val="center"/>
          </w:tcPr>
          <w:p>
            <w:pPr>
              <w:spacing w:line="360" w:lineRule="auto"/>
              <w:rPr>
                <w:rFonts w:hint="eastAsia" w:asciiTheme="minorEastAsia" w:hAnsiTheme="minorEastAsia" w:eastAsiaTheme="minorEastAsia" w:cstheme="minorEastAsia"/>
                <w:color w:val="000000"/>
                <w:sz w:val="21"/>
                <w:szCs w:val="21"/>
                <w:highlight w:val="none"/>
                <w:lang w:val="en-US" w:eastAsia="zh-CN"/>
              </w:rPr>
            </w:pPr>
            <w:r>
              <w:rPr>
                <w:rFonts w:hint="eastAsia"/>
                <w:szCs w:val="22"/>
                <w:lang w:val="en-US" w:eastAsia="zh-CN"/>
              </w:rPr>
              <w:t>环境因素</w:t>
            </w:r>
          </w:p>
        </w:tc>
        <w:tc>
          <w:tcPr>
            <w:tcW w:w="960" w:type="dxa"/>
            <w:vAlign w:val="center"/>
          </w:tcPr>
          <w:p>
            <w:pPr>
              <w:spacing w:line="360" w:lineRule="auto"/>
              <w:rPr>
                <w:rFonts w:hint="eastAsia" w:asciiTheme="minorEastAsia" w:hAnsiTheme="minorEastAsia" w:eastAsiaTheme="minorEastAsia" w:cstheme="minorEastAsia"/>
                <w:color w:val="000000"/>
                <w:sz w:val="21"/>
                <w:szCs w:val="21"/>
                <w:highlight w:val="none"/>
                <w:lang w:val="en-US" w:eastAsia="zh-CN"/>
              </w:rPr>
            </w:pPr>
            <w:r>
              <w:rPr>
                <w:rFonts w:hint="eastAsia"/>
                <w:szCs w:val="22"/>
                <w:lang w:val="en-US" w:eastAsia="zh-CN"/>
              </w:rPr>
              <w:t>E6.1.2</w:t>
            </w:r>
          </w:p>
        </w:tc>
        <w:tc>
          <w:tcPr>
            <w:tcW w:w="10004"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szCs w:val="22"/>
                <w:lang w:val="en-US" w:eastAsia="zh-CN"/>
              </w:rPr>
            </w:pPr>
            <w:r>
              <w:rPr>
                <w:rFonts w:hint="eastAsia"/>
                <w:szCs w:val="22"/>
                <w:lang w:val="en-US" w:eastAsia="zh-CN"/>
              </w:rPr>
              <w:t>策划、编制了《环境因素辨别和评价控制程序》，经文审符合标准要求</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asciiTheme="minorEastAsia" w:hAnsiTheme="minorEastAsia" w:eastAsiaTheme="minorEastAsia" w:cstheme="minorEastAsia"/>
                <w:color w:val="000000"/>
                <w:sz w:val="21"/>
                <w:szCs w:val="21"/>
                <w:highlight w:val="none"/>
                <w:lang w:val="en-US" w:eastAsia="zh-CN"/>
              </w:rPr>
            </w:pPr>
            <w:r>
              <w:rPr>
                <w:rFonts w:hint="eastAsia"/>
                <w:szCs w:val="22"/>
                <w:lang w:val="en-US" w:eastAsia="zh-CN"/>
              </w:rPr>
              <w:t>由综合办公室组织进行了环境因素识别评价。本部门评价的重要环境因素：生活和医疗服务提供过程固体废弃物的排放；日常工作、生活过程中废气的排放；潜在火灾。评价准确。</w:t>
            </w:r>
          </w:p>
        </w:tc>
        <w:tc>
          <w:tcPr>
            <w:tcW w:w="1585" w:type="dxa"/>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60" w:type="dxa"/>
            <w:vAlign w:val="center"/>
          </w:tcPr>
          <w:p>
            <w:pPr>
              <w:spacing w:line="360" w:lineRule="auto"/>
              <w:rPr>
                <w:rFonts w:hint="eastAsia" w:asciiTheme="minorEastAsia" w:hAnsiTheme="minorEastAsia" w:eastAsiaTheme="minorEastAsia" w:cstheme="minorEastAsia"/>
                <w:color w:val="000000"/>
                <w:sz w:val="21"/>
                <w:szCs w:val="21"/>
                <w:highlight w:val="none"/>
                <w:lang w:val="en-US" w:eastAsia="zh-CN"/>
              </w:rPr>
            </w:pPr>
            <w:r>
              <w:rPr>
                <w:rFonts w:hint="eastAsia"/>
                <w:szCs w:val="22"/>
                <w:lang w:val="en-US" w:eastAsia="zh-CN"/>
              </w:rPr>
              <w:t>合规性义务</w:t>
            </w:r>
          </w:p>
        </w:tc>
        <w:tc>
          <w:tcPr>
            <w:tcW w:w="960" w:type="dxa"/>
            <w:vAlign w:val="center"/>
          </w:tcPr>
          <w:p>
            <w:pPr>
              <w:spacing w:line="360" w:lineRule="auto"/>
              <w:rPr>
                <w:rFonts w:hint="default" w:asciiTheme="minorEastAsia" w:hAnsiTheme="minorEastAsia" w:eastAsiaTheme="minorEastAsia" w:cstheme="minorEastAsia"/>
                <w:color w:val="000000"/>
                <w:sz w:val="21"/>
                <w:szCs w:val="21"/>
                <w:highlight w:val="none"/>
                <w:lang w:val="en-US" w:eastAsia="zh-CN"/>
              </w:rPr>
            </w:pPr>
            <w:r>
              <w:rPr>
                <w:rFonts w:hint="eastAsia"/>
                <w:szCs w:val="22"/>
                <w:lang w:val="en-US" w:eastAsia="zh-CN"/>
              </w:rPr>
              <w:t>E6.1.3、9.1.2</w:t>
            </w:r>
          </w:p>
        </w:tc>
        <w:tc>
          <w:tcPr>
            <w:tcW w:w="10004"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编制了《法律、法规和其他要求控制程序》，规定法律、法规及其他要求的范围、获取方法、确认及分发、合规性评价的要求和频率。</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综合办公室负责适用的产品和质量/环境/方面的法律法规的识别、获取和更新，并评价其适用性；提供公司适用的法律法规及要求清单：中华人民共和国环境保护法、中华人民共和国水污染防治法、中华人民共和国大气污染防治法、中华人民共和国固体废物污染环境防治法、中华人民共和国环境噪声污染防治法、中华人民共和国节约能源法、中华人民共和国消防法、国家危险废弃物名录环境空气质量标准、关于发布《环境空气质量标准》修改的通知（环发2001号）、大气污染物综合排放标准、污水综合排放标准、声环境质量标准、危险废物贮存污染控制标准、海南省污水排放限值、海南省大气污染排放限值、海南省建设项目环境保护管理条例、海南省机动车排气污染防治条例、琼海经济特区机动车排气污染防治规定琼海市固体废物污染环境防治规定、琼海经济特区环境噪声污染防治条例、海南省固体废物污染环境防治条例等。</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评价日期: 2021年03月15日，评价人员：环境管理者代表、各部门（科室）主管/主任，结论: 医院遵守适用的环境法律法规和其它要求、环境绩效是符合要求的。</w:t>
            </w:r>
          </w:p>
        </w:tc>
        <w:tc>
          <w:tcPr>
            <w:tcW w:w="1585" w:type="dxa"/>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160" w:type="dxa"/>
            <w:vAlign w:val="top"/>
          </w:tcPr>
          <w:p>
            <w:pPr>
              <w:spacing w:line="360" w:lineRule="auto"/>
              <w:rPr>
                <w:rFonts w:hint="eastAsia" w:ascii="宋体" w:hAnsi="宋体" w:eastAsia="宋体" w:cs="宋体"/>
                <w:b w:val="0"/>
                <w:bCs w:val="0"/>
                <w:color w:val="auto"/>
                <w:sz w:val="21"/>
                <w:szCs w:val="21"/>
                <w:lang w:val="en-US" w:eastAsia="zh-CN"/>
              </w:rPr>
            </w:pPr>
            <w:r>
              <w:rPr>
                <w:rFonts w:hint="eastAsia"/>
              </w:rPr>
              <w:t>目标及其实现的策划</w:t>
            </w:r>
          </w:p>
        </w:tc>
        <w:tc>
          <w:tcPr>
            <w:tcW w:w="960" w:type="dxa"/>
            <w:vAlign w:val="top"/>
          </w:tcPr>
          <w:p>
            <w:pPr>
              <w:spacing w:line="360" w:lineRule="auto"/>
              <w:rPr>
                <w:rFonts w:hint="eastAsia" w:ascii="宋体" w:hAnsi="宋体" w:eastAsia="宋体" w:cs="宋体"/>
                <w:b w:val="0"/>
                <w:bCs w:val="0"/>
                <w:color w:val="auto"/>
                <w:sz w:val="21"/>
                <w:szCs w:val="21"/>
                <w:lang w:val="en-US" w:eastAsia="zh-CN"/>
              </w:rPr>
            </w:pPr>
            <w:r>
              <w:rPr>
                <w:rFonts w:hint="eastAsia"/>
                <w:lang w:val="en-US" w:eastAsia="zh-CN"/>
              </w:rPr>
              <w:t>QE6.2</w:t>
            </w:r>
          </w:p>
        </w:tc>
        <w:tc>
          <w:tcPr>
            <w:tcW w:w="10004"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公司的质量、环境目标及完成情况为：</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人力资源部：目标                完成情况</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培训计划按时完成率100%           100%</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固体废弃物有效处理率100%</w:t>
            </w:r>
            <w:r>
              <w:rPr>
                <w:rFonts w:hint="eastAsia"/>
                <w:lang w:val="en-US" w:eastAsia="zh-CN"/>
              </w:rPr>
              <w:tab/>
            </w:r>
            <w:r>
              <w:rPr>
                <w:rFonts w:hint="eastAsia"/>
                <w:lang w:val="en-US" w:eastAsia="zh-CN"/>
              </w:rPr>
              <w:t xml:space="preserve">      100%</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火灾事故发生率</w:t>
            </w:r>
            <w:r>
              <w:rPr>
                <w:rFonts w:hint="eastAsia"/>
                <w:lang w:val="en-US" w:eastAsia="zh-CN"/>
              </w:rPr>
              <w:tab/>
            </w:r>
            <w:r>
              <w:rPr>
                <w:rFonts w:hint="eastAsia"/>
                <w:lang w:val="en-US" w:eastAsia="zh-CN"/>
              </w:rPr>
              <w:t>0次/年            0次</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文件受控率</w:t>
            </w:r>
            <w:r>
              <w:rPr>
                <w:rFonts w:hint="eastAsia"/>
                <w:lang w:val="en-US" w:eastAsia="zh-CN"/>
              </w:rPr>
              <w:tab/>
            </w:r>
            <w:r>
              <w:rPr>
                <w:rFonts w:hint="eastAsia"/>
                <w:lang w:val="en-US" w:eastAsia="zh-CN"/>
              </w:rPr>
              <w:t>100%                 100%</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综合办公室：目标                完成情况</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固体废弃物有效处理率100%</w:t>
            </w:r>
            <w:r>
              <w:rPr>
                <w:rFonts w:hint="eastAsia"/>
                <w:lang w:val="en-US" w:eastAsia="zh-CN"/>
              </w:rPr>
              <w:tab/>
            </w:r>
            <w:r>
              <w:rPr>
                <w:rFonts w:hint="eastAsia"/>
                <w:lang w:val="en-US" w:eastAsia="zh-CN"/>
              </w:rPr>
              <w:t xml:space="preserve">     100%</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文件受控率100%                  100%</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lang w:val="en-US" w:eastAsia="zh-CN"/>
              </w:rPr>
              <w:t>火灾事故发生率</w:t>
            </w:r>
            <w:r>
              <w:rPr>
                <w:rFonts w:hint="eastAsia"/>
                <w:lang w:val="en-US" w:eastAsia="zh-CN"/>
              </w:rPr>
              <w:tab/>
            </w:r>
            <w:r>
              <w:rPr>
                <w:rFonts w:hint="eastAsia"/>
                <w:lang w:val="en-US" w:eastAsia="zh-CN"/>
              </w:rPr>
              <w:t>0次/年           0次</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考核日期：2021年9月1日       考核人：符孝勇</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lang w:val="en-US" w:eastAsia="zh-CN"/>
              </w:rPr>
            </w:pPr>
            <w:r>
              <w:rPr>
                <w:rFonts w:hint="eastAsia"/>
                <w:lang w:val="en-US" w:eastAsia="zh-CN"/>
              </w:rPr>
              <w:t>提供</w:t>
            </w:r>
            <w:r>
              <w:rPr>
                <w:rFonts w:hint="eastAsia" w:ascii="Times New Roman" w:hAnsi="Times New Roman" w:cs="Times New Roman"/>
                <w:lang w:val="en-US" w:eastAsia="zh-CN"/>
              </w:rPr>
              <w:t>了《环境职业健康安全管理方案》以及《环境和职业健康安全管理方案验收报告》，包含了：</w:t>
            </w:r>
          </w:p>
          <w:p>
            <w:pPr>
              <w:pStyle w:val="2"/>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医疗废水的排放管理方案：</w:t>
            </w:r>
          </w:p>
          <w:p>
            <w:pPr>
              <w:pStyle w:val="2"/>
              <w:keepNext w:val="0"/>
              <w:keepLines w:val="0"/>
              <w:pageBreakBefore w:val="0"/>
              <w:widowControl w:val="0"/>
              <w:numPr>
                <w:numId w:val="0"/>
              </w:numPr>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 xml:space="preserve">1.1医院区内规划建设一座污水处理设施，采用 “水解酸化+接触氧化+消毒”工艺，该工艺成熟稳定，该工艺出水水质中 COD &lt;100mg/L、BOD5 &lt;80mg/L、SS &lt;50mg/L、NH3-N&lt;5 mg/L。出水水质满足《医疗机构水污染物排放标准》（GB18466-2005）和先行区内污水处理厂入网标准中的要求，最终排入规划嘉博大道市政污水管网。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2.2污水纳入先行区永久污水处理厂（南岸水质处理厂）处理。污水处理工艺采用“臭氧催化氧化+改良型 A2 O+组合混凝沉淀+ 臭氧消毒”工艺，医院出水水质执行《城镇污水处理厂污染物排放标准》（GB18918－2002）中“一级 A 标准”及医疗机构水污染物排放标准（GB18466-2005）》中“综合医疗机构和其他医疗机构水污染物排放限值的排放标准” ，各项指标标准限值执行严者。出水通过尾水管自流进入污水处理构筑物和厂区围墙内的环形生态堰，进一步通过生态湿地净化水质，最后排入受纳水体九曲江支流。</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3.3利用温馨提示、广告栏引导医院员工日常医疗服务中减少医疗污水的排放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医疗废水处理费由废水处理用药品、设备维修、人员工资等组成，此项计划投资30万元/年。</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方案完成情况：1．本医院已建成污水处理站进行污水处理。</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从2020年08月开始，本医院的医疗废水已经本院处理后纳入永久污水处理厂（南岸水质处理厂）处理。</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2．从永久污水处理厂（南岸水质处理厂）反馈的污水检测报告可知医疗废水已达标排放。</w:t>
            </w:r>
          </w:p>
          <w:p>
            <w:pPr>
              <w:pStyle w:val="2"/>
              <w:numPr>
                <w:ilvl w:val="0"/>
                <w:numId w:val="0"/>
              </w:numPr>
              <w:rPr>
                <w:rFonts w:hint="default" w:ascii="Times New Roman" w:hAnsi="Times New Roman" w:cs="Times New Roman"/>
                <w:lang w:val="en-US" w:eastAsia="zh-CN"/>
              </w:rPr>
            </w:pPr>
            <w:r>
              <w:rPr>
                <w:rFonts w:hint="eastAsia" w:ascii="Times New Roman" w:hAnsi="Times New Roman" w:cs="Times New Roman"/>
                <w:lang w:val="en-US" w:eastAsia="zh-CN"/>
              </w:rPr>
              <w:t>3．后勤部利用温馨提示、广告栏引导医院员工日常医疗服务中减少医疗污水的排放。</w:t>
            </w:r>
          </w:p>
          <w:p>
            <w:pPr>
              <w:pStyle w:val="2"/>
              <w:numPr>
                <w:ilvl w:val="0"/>
                <w:numId w:val="1"/>
              </w:numPr>
              <w:rPr>
                <w:rFonts w:hint="eastAsia" w:ascii="Times New Roman" w:hAnsi="Times New Roman" w:cs="Times New Roman"/>
                <w:lang w:val="en-US" w:eastAsia="zh-CN"/>
              </w:rPr>
            </w:pPr>
            <w:r>
              <w:rPr>
                <w:rFonts w:hint="eastAsia" w:ascii="Times New Roman" w:hAnsi="Times New Roman" w:cs="Times New Roman"/>
                <w:b/>
                <w:bCs/>
                <w:lang w:val="en-US" w:eastAsia="zh-CN"/>
              </w:rPr>
              <w:t>“固体废弃物”管理方案：</w:t>
            </w:r>
          </w:p>
          <w:p>
            <w:pPr>
              <w:pStyle w:val="2"/>
              <w:numPr>
                <w:numId w:val="0"/>
              </w:numPr>
              <w:rPr>
                <w:rFonts w:hint="eastAsia" w:ascii="Times New Roman" w:hAnsi="Times New Roman" w:cs="Times New Roman"/>
                <w:lang w:val="en-US" w:eastAsia="zh-CN"/>
              </w:rPr>
            </w:pPr>
            <w:r>
              <w:rPr>
                <w:rFonts w:hint="eastAsia" w:ascii="Times New Roman" w:hAnsi="Times New Roman" w:cs="Times New Roman"/>
                <w:lang w:val="en-US" w:eastAsia="zh-CN"/>
              </w:rPr>
              <w:t>2.1由后勤部购买垃圾桶，对生活垃圾（纸张、塑料、金属）等可回收的垃圾分别放置，给以明确标识，并加大宣传力度，让人们自觉养成好的分类放置习惯。生活垃圾由琼海市环卫部门统一清运处理。</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2.2餐厨垃圾由厨房单独收集，集中放置，交后勤部交由环卫部门统一清运处理。</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2.3医疗废物全部委托有资质单位进行清运处理。后勤部应与有资质的医疗废物处置医院签订处置协议，妥善处理本医院产生的医疗废物。 各医疗垃圾产生点将分类收集的医疗垃圾运送至医疗垃圾暂存站。医院内内规划一处医疗废物暂存间，位于住院门诊综合楼南侧，面积约30m2。</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2.4污泥处理站污泥属危险废物，应按危险废物进行处理和处置。污泥清淘前应加入石灰、漂白粉或其它消毒剂对污泥进行消毒处理，并进行监测，达到《医疗机构水污染物排放标准》 （GB18466-2005）中表4 医疗机构污泥控制标准后进行清淘。清淘出的污泥经消毒后作为危险废物交于有资质单位进行处理处置。医疗废水处理站臭气活性炭除臭后产生的废活性炭属于危险废物，由后勤部单独收集后应交由有资质单位处置。</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2.5隔油池废油脂属于危险废物，需委托有资质单位进行处理。</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2.</w:t>
            </w:r>
            <w:r>
              <w:rPr>
                <w:rFonts w:hint="eastAsia" w:cs="Times New Roman"/>
                <w:lang w:val="en-US" w:eastAsia="zh-CN"/>
              </w:rPr>
              <w:t>6</w:t>
            </w:r>
            <w:r>
              <w:rPr>
                <w:rFonts w:hint="eastAsia" w:ascii="Times New Roman" w:hAnsi="Times New Roman" w:cs="Times New Roman"/>
                <w:lang w:val="en-US" w:eastAsia="zh-CN"/>
              </w:rPr>
              <w:t>由医院于2020年09月30日前，统一联系有环保资质的危险废物处理单位，取得其资质证明复印件，并与其签定《危险废物处理协议》。从2020年10月01开始，对于危险废弃物积累到1000公斤时，则将危险废弃物交有环保资质的危险废物处理单位和处理，并出具“危险废弃物移物单”，</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预计危险废物处理费此项计划投资10000元/年，危险固体废弃物的分类回收，统一收集处理，专车运输，由后勤部跟进处理过程。</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方案完成情况：1．从2020年08月开始，后勤部购买垃圾桶，各部门已按规定对生活垃圾进行分类收集，并交环卫部门处理。</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2．从2020年08月开始，各部门均有按《固体废弃物分类标准》对固体废弃物进行分类收集。</w:t>
            </w:r>
          </w:p>
          <w:p>
            <w:pPr>
              <w:pStyle w:val="2"/>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3．从2020年08月开始，后勤部已对于设置的用于存放固体废弃物的偏僻区域予以经常性清理整理，保持了其环境清洁整洁，无异味，无蚊蝇滋生。</w:t>
            </w:r>
          </w:p>
          <w:p>
            <w:pPr>
              <w:pStyle w:val="2"/>
              <w:numPr>
                <w:ilvl w:val="0"/>
                <w:numId w:val="0"/>
              </w:numPr>
              <w:rPr>
                <w:rFonts w:hint="eastAsia" w:ascii="Times New Roman" w:hAnsi="Times New Roman" w:cs="Times New Roman"/>
                <w:lang w:val="en-US" w:eastAsia="zh-CN"/>
              </w:rPr>
            </w:pPr>
            <w:r>
              <w:rPr>
                <w:rFonts w:hint="eastAsia" w:cs="Times New Roman"/>
                <w:lang w:val="en-US" w:eastAsia="zh-CN"/>
              </w:rPr>
              <w:t>4</w:t>
            </w:r>
            <w:r>
              <w:rPr>
                <w:rFonts w:hint="eastAsia" w:ascii="Times New Roman" w:hAnsi="Times New Roman" w:cs="Times New Roman"/>
                <w:lang w:val="en-US" w:eastAsia="zh-CN"/>
              </w:rPr>
              <w:t>．后勤部已与危险废物处理医院签订协议，并将危险废物委托有资质单位进行处理。</w:t>
            </w:r>
          </w:p>
          <w:p>
            <w:pPr>
              <w:pStyle w:val="2"/>
              <w:numPr>
                <w:ilvl w:val="0"/>
                <w:numId w:val="0"/>
              </w:numPr>
              <w:rPr>
                <w:rFonts w:hint="eastAsia" w:ascii="Times New Roman" w:hAnsi="Times New Roman" w:cs="Times New Roman"/>
                <w:lang w:val="en-US" w:eastAsia="zh-CN"/>
              </w:rPr>
            </w:pPr>
            <w:r>
              <w:rPr>
                <w:rFonts w:hint="eastAsia" w:cs="Times New Roman"/>
                <w:lang w:val="en-US" w:eastAsia="zh-CN"/>
              </w:rPr>
              <w:t>5</w:t>
            </w:r>
            <w:r>
              <w:rPr>
                <w:rFonts w:hint="eastAsia" w:ascii="Times New Roman" w:hAnsi="Times New Roman" w:cs="Times New Roman"/>
                <w:lang w:val="en-US" w:eastAsia="zh-CN"/>
              </w:rPr>
              <w:t>．从2020年10月开始，后勤部有以会议方式对进行生活垃圾分类的宣传和倡导，对员工要求垃圾投放时分类投放。</w:t>
            </w:r>
          </w:p>
          <w:p>
            <w:pPr>
              <w:pStyle w:val="2"/>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综合以上验收情况，认为本医院的固体废弃物的管理方案已基本得到落实或正在落实中。</w:t>
            </w:r>
          </w:p>
          <w:p>
            <w:pPr>
              <w:pStyle w:val="2"/>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项目验收组人员签名:申发明  林仕均  陈爱花  梁怡  高雪  2021年02月30日</w:t>
            </w:r>
          </w:p>
          <w:p>
            <w:pPr>
              <w:pStyle w:val="2"/>
              <w:numPr>
                <w:ilvl w:val="0"/>
                <w:numId w:val="0"/>
              </w:numPr>
              <w:rPr>
                <w:rFonts w:hint="default" w:ascii="Times New Roman" w:hAnsi="Times New Roman" w:cs="Times New Roman"/>
                <w:lang w:val="en-US" w:eastAsia="zh-CN"/>
              </w:rPr>
            </w:pPr>
            <w:r>
              <w:rPr>
                <w:rFonts w:hint="eastAsia" w:ascii="Times New Roman" w:hAnsi="Times New Roman" w:cs="Times New Roman"/>
                <w:lang w:val="en-US" w:eastAsia="zh-CN"/>
              </w:rPr>
              <w:t>又查了“废气”管理方案、“危险化学品的排放”管理方案、“潜在火灾”管理方案。均已完成。</w:t>
            </w:r>
          </w:p>
        </w:tc>
        <w:tc>
          <w:tcPr>
            <w:tcW w:w="1585" w:type="dxa"/>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人员</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能力</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意识</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color w:val="000000"/>
                <w:sz w:val="21"/>
                <w:szCs w:val="21"/>
                <w:lang w:val="en-US" w:eastAsia="zh-CN"/>
              </w:rPr>
            </w:pPr>
          </w:p>
        </w:tc>
        <w:tc>
          <w:tcPr>
            <w:tcW w:w="9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Q</w:t>
            </w:r>
            <w:r>
              <w:rPr>
                <w:rFonts w:hint="eastAsia" w:ascii="宋体" w:hAnsi="宋体" w:eastAsia="宋体" w:cs="宋体"/>
                <w:color w:val="000000"/>
                <w:sz w:val="21"/>
                <w:szCs w:val="21"/>
                <w:lang w:val="en-US" w:eastAsia="zh-CN"/>
              </w:rPr>
              <w:t>7.1.2</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 xml:space="preserve">QE7.2 </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QE7.3</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color w:val="000000"/>
                <w:sz w:val="21"/>
                <w:szCs w:val="21"/>
                <w:lang w:val="en-US" w:eastAsia="zh-CN"/>
              </w:rPr>
            </w:pPr>
          </w:p>
        </w:tc>
        <w:tc>
          <w:tcPr>
            <w:tcW w:w="1000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Chars="0" w:right="0" w:rightChars="0"/>
              <w:jc w:val="left"/>
              <w:textAlignment w:val="auto"/>
              <w:outlineLvl w:val="9"/>
              <w:rPr>
                <w:rFonts w:hint="eastAsia"/>
                <w:u w:val="none"/>
                <w:lang w:val="en-US" w:eastAsia="zh-CN"/>
              </w:rPr>
            </w:pPr>
            <w:r>
              <w:rPr>
                <w:rFonts w:hint="eastAsia"/>
                <w:lang w:val="en-US" w:eastAsia="zh-CN"/>
              </w:rPr>
              <w:t>本</w:t>
            </w:r>
            <w:r>
              <w:rPr>
                <w:rFonts w:hint="eastAsia"/>
              </w:rPr>
              <w:t>组织</w:t>
            </w:r>
            <w:r>
              <w:rPr>
                <w:rFonts w:hint="eastAsia"/>
                <w:u w:val="none"/>
              </w:rPr>
              <w:t>确定所需</w:t>
            </w:r>
            <w:r>
              <w:rPr>
                <w:rFonts w:hint="eastAsia"/>
                <w:u w:val="none"/>
                <w:lang w:val="en-US" w:eastAsia="zh-CN"/>
              </w:rPr>
              <w:t>人</w:t>
            </w:r>
            <w:r>
              <w:rPr>
                <w:rFonts w:hint="eastAsia"/>
                <w:u w:val="none"/>
              </w:rPr>
              <w:t>员</w:t>
            </w:r>
            <w:r>
              <w:rPr>
                <w:rFonts w:hint="eastAsia"/>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Chars="0" w:right="0" w:rightChars="0"/>
              <w:jc w:val="left"/>
              <w:textAlignment w:val="auto"/>
              <w:outlineLvl w:val="9"/>
              <w:rPr>
                <w:rFonts w:hint="eastAsia"/>
                <w:u w:val="none"/>
                <w:lang w:eastAsia="zh-CN"/>
              </w:rPr>
            </w:pPr>
            <w:r>
              <w:rPr>
                <w:rFonts w:hint="eastAsia"/>
                <w:u w:val="none"/>
                <w:lang w:val="en-US" w:eastAsia="zh-CN"/>
              </w:rPr>
              <w:t>客服、医护人员</w:t>
            </w:r>
            <w:r>
              <w:rPr>
                <w:rFonts w:hint="eastAsia"/>
                <w:u w:val="none"/>
              </w:rPr>
              <w:t>、</w:t>
            </w:r>
            <w:r>
              <w:rPr>
                <w:rFonts w:hint="eastAsia"/>
                <w:u w:val="none"/>
                <w:lang w:val="en-US" w:eastAsia="zh-CN"/>
              </w:rPr>
              <w:t>检验化验</w:t>
            </w:r>
            <w:r>
              <w:rPr>
                <w:rFonts w:hint="eastAsia"/>
                <w:u w:val="none"/>
              </w:rPr>
              <w:t>测试、</w:t>
            </w:r>
            <w:r>
              <w:rPr>
                <w:rFonts w:hint="eastAsia"/>
                <w:u w:val="none"/>
                <w:lang w:val="en-US" w:eastAsia="zh-CN"/>
              </w:rPr>
              <w:t>内</w:t>
            </w:r>
            <w:r>
              <w:rPr>
                <w:rFonts w:hint="eastAsia"/>
                <w:u w:val="none"/>
              </w:rPr>
              <w:t>审</w:t>
            </w:r>
            <w:r>
              <w:rPr>
                <w:rFonts w:hint="eastAsia"/>
                <w:u w:val="none"/>
                <w:lang w:val="en-US" w:eastAsia="zh-CN"/>
              </w:rPr>
              <w:t>员、部门主管</w:t>
            </w:r>
            <w:r>
              <w:rPr>
                <w:rFonts w:hint="eastAsia"/>
                <w:u w:val="none"/>
              </w:rPr>
              <w:t>等</w:t>
            </w:r>
            <w:r>
              <w:rPr>
                <w:rFonts w:hint="eastAsia"/>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Chars="0" w:right="0" w:rightChars="0"/>
              <w:jc w:val="left"/>
              <w:textAlignment w:val="auto"/>
              <w:outlineLvl w:val="9"/>
              <w:rPr>
                <w:rFonts w:hint="eastAsia"/>
                <w:u w:val="none"/>
              </w:rPr>
            </w:pPr>
            <w:r>
              <w:rPr>
                <w:rFonts w:hint="eastAsia"/>
                <w:u w:val="none"/>
                <w:lang w:eastAsia="zh-CN"/>
              </w:rPr>
              <w:t>——</w:t>
            </w:r>
            <w:r>
              <w:rPr>
                <w:rFonts w:hint="eastAsia"/>
                <w:u w:val="none"/>
              </w:rPr>
              <w:t>确定</w:t>
            </w:r>
            <w:r>
              <w:rPr>
                <w:rFonts w:hint="eastAsia"/>
                <w:u w:val="none"/>
                <w:lang w:val="en-US" w:eastAsia="zh-CN"/>
              </w:rPr>
              <w:t>了人员能力和岗位要求</w:t>
            </w:r>
            <w:r>
              <w:rPr>
                <w:rFonts w:hint="eastAsia"/>
                <w:u w:val="none"/>
                <w:lang w:eastAsia="zh-CN"/>
              </w:rPr>
              <w:t>、</w:t>
            </w:r>
            <w:r>
              <w:rPr>
                <w:rFonts w:hint="eastAsia"/>
                <w:u w:val="none"/>
              </w:rPr>
              <w:t>考虑</w:t>
            </w:r>
            <w:r>
              <w:rPr>
                <w:rFonts w:hint="eastAsia"/>
                <w:u w:val="none"/>
                <w:lang w:val="en-US" w:eastAsia="zh-CN"/>
              </w:rPr>
              <w:t>到了</w:t>
            </w:r>
            <w:r>
              <w:rPr>
                <w:rFonts w:hint="eastAsia"/>
                <w:u w:val="none"/>
              </w:rPr>
              <w:t>相关经验</w:t>
            </w:r>
            <w:r>
              <w:rPr>
                <w:rFonts w:hint="eastAsia"/>
                <w:u w:val="none"/>
                <w:lang w:val="en-US" w:eastAsia="zh-CN"/>
              </w:rPr>
              <w:t>经历</w:t>
            </w:r>
            <w:r>
              <w:rPr>
                <w:rFonts w:hint="eastAsia"/>
                <w:u w:val="none"/>
                <w:lang w:eastAsia="zh-CN"/>
              </w:rPr>
              <w:t>、</w:t>
            </w:r>
            <w:r>
              <w:rPr>
                <w:rFonts w:hint="eastAsia"/>
                <w:u w:val="none"/>
                <w:lang w:val="en-US" w:eastAsia="zh-CN"/>
              </w:rPr>
              <w:t>年龄性别及岗位</w:t>
            </w:r>
            <w:r>
              <w:rPr>
                <w:rFonts w:hint="eastAsia"/>
                <w:u w:val="none"/>
              </w:rPr>
              <w:t>资格</w:t>
            </w:r>
            <w:r>
              <w:rPr>
                <w:rFonts w:hint="eastAsia"/>
                <w:u w:val="none"/>
                <w:lang w:val="en-US" w:eastAsia="zh-CN"/>
              </w:rPr>
              <w:t>要求等</w:t>
            </w:r>
            <w:r>
              <w:rPr>
                <w:rFonts w:hint="eastAsia"/>
                <w:u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u w:val="none"/>
                <w:lang w:eastAsia="zh-CN"/>
              </w:rPr>
            </w:pPr>
            <w:r>
              <w:rPr>
                <w:rFonts w:hint="eastAsia"/>
                <w:u w:val="none"/>
                <w:lang w:val="en-US" w:eastAsia="zh-CN"/>
              </w:rPr>
              <w:t>本组织通过对人员资质认定</w:t>
            </w:r>
            <w:r>
              <w:rPr>
                <w:rFonts w:hint="eastAsia"/>
                <w:u w:val="none"/>
              </w:rPr>
              <w:t>以此确保过程对人员能力的要求</w:t>
            </w:r>
            <w:r>
              <w:rPr>
                <w:rFonts w:hint="eastAsia"/>
                <w:u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抽查医护人员资格证明：</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sz w:val="21"/>
                <w:szCs w:val="21"/>
                <w:lang w:val="en-US" w:eastAsia="zh-CN"/>
              </w:rPr>
            </w:pPr>
            <w:r>
              <w:rPr>
                <w:rFonts w:hint="eastAsia" w:ascii="宋体" w:hAnsi="宋体" w:cs="宋体"/>
                <w:b w:val="0"/>
                <w:bCs w:val="0"/>
                <w:color w:val="auto"/>
                <w:sz w:val="21"/>
                <w:szCs w:val="21"/>
                <w:lang w:val="en-US" w:eastAsia="zh-CN"/>
              </w:rPr>
              <w:t>医生（共38人）、抽查6人：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彭大为、肿瘤科、医师资格证号199834110340503195511220433、有效日期2021/2/9；</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张泽灵、内科、医师资格证号199899110460100195704018019、有效日期2021/10/15；</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lang w:val="en-US" w:eastAsia="zh-CN"/>
              </w:rPr>
            </w:pPr>
            <w:r>
              <w:rPr>
                <w:rFonts w:hint="eastAsia"/>
                <w:lang w:val="en-US" w:eastAsia="zh-CN"/>
              </w:rPr>
              <w:t>黎秋婵、医学检验科、</w:t>
            </w:r>
            <w:r>
              <w:rPr>
                <w:rFonts w:hint="eastAsia" w:ascii="宋体" w:hAnsi="宋体" w:cs="宋体"/>
                <w:b w:val="0"/>
                <w:bCs w:val="0"/>
                <w:color w:val="auto"/>
                <w:sz w:val="21"/>
                <w:szCs w:val="21"/>
                <w:lang w:val="en-US" w:eastAsia="zh-CN"/>
              </w:rPr>
              <w:t>医师资格证号302202009460120700080、有效日期2021/10/15；</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郝恒聪、医学影像科、医师资格证号201613110130133198810130754、有效日期2022/10/22；</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刘巧红、医学影像科、医师资格证号201546110520201198810271626、有效日期2021/9/21；</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刘晓珊、医学美容科、医师资格证号200165110654221770210402、有效日期2022/1/24；</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护士49人、抽查7人：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张虹、内科、护士资格证号20181460100620300340、有效日期2024/1/8；</w:t>
            </w:r>
          </w:p>
          <w:p>
            <w:pPr>
              <w:spacing w:line="240" w:lineRule="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张新宇、内科、护士资格证号20181220200120300739、有效日期2024/1/15；</w:t>
            </w:r>
          </w:p>
          <w:p>
            <w:pPr>
              <w:spacing w:line="240" w:lineRule="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林翠莲、内科、护士资格证号2018146020210360、有效日期2024/2/2；</w:t>
            </w:r>
          </w:p>
          <w:p>
            <w:pPr>
              <w:spacing w:line="240" w:lineRule="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郑奇妮、内科、护士资格证号30220200946012031610、有效日期2024/1/15；</w:t>
            </w:r>
          </w:p>
          <w:p>
            <w:pPr>
              <w:spacing w:line="240" w:lineRule="auto"/>
              <w:rPr>
                <w:rFonts w:hint="eastAsia" w:ascii="宋体" w:hAnsi="宋体" w:cs="宋体"/>
                <w:b w:val="0"/>
                <w:bCs w:val="0"/>
                <w:color w:val="auto"/>
                <w:sz w:val="21"/>
                <w:szCs w:val="21"/>
                <w:lang w:val="en-US" w:eastAsia="zh-CN"/>
              </w:rPr>
            </w:pPr>
            <w:r>
              <w:rPr>
                <w:rFonts w:hint="eastAsia" w:ascii="宋体" w:hAnsi="宋体" w:eastAsia="宋体" w:cs="宋体"/>
                <w:b w:val="0"/>
                <w:bCs w:val="0"/>
                <w:color w:val="auto"/>
                <w:sz w:val="21"/>
                <w:szCs w:val="21"/>
              </w:rPr>
              <w:t>田慧斌</w:t>
            </w:r>
            <w:r>
              <w:rPr>
                <w:rFonts w:hint="eastAsia" w:ascii="宋体" w:hAnsi="宋体" w:cs="宋体"/>
                <w:b w:val="0"/>
                <w:bCs w:val="0"/>
                <w:color w:val="auto"/>
                <w:sz w:val="21"/>
                <w:szCs w:val="21"/>
                <w:lang w:val="en-US" w:eastAsia="zh-CN"/>
              </w:rPr>
              <w:t>、手术室、护士资格证号30220200946012031498、有效日期2021/11/20；</w:t>
            </w:r>
          </w:p>
          <w:p>
            <w:pPr>
              <w:spacing w:line="240" w:lineRule="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王叶影、手术室、护士资格证号15275157、有效日期2022/4/8；</w:t>
            </w:r>
          </w:p>
          <w:p>
            <w:pPr>
              <w:spacing w:line="240" w:lineRule="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马姣姣、手术室、护士资格证号30220190646012031342、有效日期2021/4/18；</w:t>
            </w:r>
          </w:p>
          <w:p>
            <w:pPr>
              <w:pStyle w:val="2"/>
              <w:spacing w:line="240" w:lineRule="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查其他人员资格均满足要求、符合规定；详见附件医师、护士的职称证、执业证。</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lang w:val="en-US" w:eastAsia="zh-CN"/>
              </w:rPr>
              <w:t>提供</w:t>
            </w:r>
            <w:r>
              <w:rPr>
                <w:rFonts w:hint="eastAsia" w:ascii="宋体" w:hAnsi="宋体" w:cs="宋体"/>
                <w:b w:val="0"/>
                <w:bCs w:val="0"/>
                <w:color w:val="auto"/>
                <w:sz w:val="21"/>
                <w:szCs w:val="21"/>
                <w:lang w:val="en-US" w:eastAsia="zh-CN"/>
              </w:rPr>
              <w:t>“质</w:t>
            </w:r>
            <w:r>
              <w:rPr>
                <w:rFonts w:hint="eastAsia" w:ascii="宋体" w:hAnsi="宋体" w:eastAsia="宋体" w:cs="宋体"/>
                <w:b w:val="0"/>
                <w:bCs w:val="0"/>
                <w:color w:val="auto"/>
                <w:sz w:val="21"/>
                <w:szCs w:val="21"/>
                <w:u w:val="none"/>
                <w:lang w:val="en-US" w:eastAsia="zh-CN"/>
              </w:rPr>
              <w:t>量体系关键</w:t>
            </w:r>
            <w:r>
              <w:rPr>
                <w:rFonts w:hint="eastAsia" w:ascii="宋体" w:hAnsi="宋体" w:eastAsia="宋体" w:cs="宋体"/>
                <w:b w:val="0"/>
                <w:bCs w:val="0"/>
                <w:color w:val="auto"/>
                <w:sz w:val="21"/>
                <w:szCs w:val="21"/>
                <w:u w:val="none"/>
              </w:rPr>
              <w:t>岗位</w:t>
            </w:r>
            <w:r>
              <w:rPr>
                <w:rFonts w:hint="eastAsia" w:ascii="宋体" w:hAnsi="宋体" w:eastAsia="宋体" w:cs="宋体"/>
                <w:b w:val="0"/>
                <w:bCs w:val="0"/>
                <w:color w:val="auto"/>
                <w:sz w:val="21"/>
                <w:szCs w:val="21"/>
                <w:u w:val="none"/>
                <w:lang w:val="en-US" w:eastAsia="zh-CN"/>
              </w:rPr>
              <w:t>清单</w:t>
            </w:r>
            <w:r>
              <w:rPr>
                <w:rFonts w:hint="eastAsia" w:ascii="宋体" w:hAnsi="宋体" w:cs="宋体"/>
                <w:b w:val="0"/>
                <w:bCs w:val="0"/>
                <w:color w:val="auto"/>
                <w:sz w:val="21"/>
                <w:szCs w:val="21"/>
                <w:u w:val="none"/>
                <w:lang w:val="en-US" w:eastAsia="zh-CN"/>
              </w:rPr>
              <w:t>”</w:t>
            </w:r>
            <w:r>
              <w:rPr>
                <w:rFonts w:hint="eastAsia" w:ascii="宋体" w:hAnsi="宋体" w:eastAsia="宋体" w:cs="宋体"/>
                <w:b w:val="0"/>
                <w:bCs w:val="0"/>
                <w:color w:val="auto"/>
                <w:sz w:val="21"/>
                <w:szCs w:val="21"/>
                <w:u w:val="none"/>
                <w:lang w:eastAsia="zh-CN"/>
              </w:rPr>
              <w:t>、</w:t>
            </w:r>
            <w:r>
              <w:rPr>
                <w:rFonts w:hint="eastAsia" w:ascii="宋体" w:hAnsi="宋体" w:eastAsia="宋体" w:cs="宋体"/>
                <w:b w:val="0"/>
                <w:bCs w:val="0"/>
                <w:color w:val="auto"/>
                <w:sz w:val="21"/>
                <w:szCs w:val="21"/>
                <w:u w:val="none"/>
              </w:rPr>
              <w:t xml:space="preserve"> </w:t>
            </w:r>
            <w:r>
              <w:rPr>
                <w:rFonts w:hint="eastAsia" w:ascii="宋体" w:hAnsi="宋体" w:eastAsia="宋体" w:cs="宋体"/>
                <w:b w:val="0"/>
                <w:bCs w:val="0"/>
                <w:color w:val="auto"/>
                <w:sz w:val="21"/>
                <w:szCs w:val="21"/>
                <w:u w:val="none"/>
                <w:lang w:val="en-US" w:eastAsia="zh-CN"/>
              </w:rPr>
              <w:t>抽查关主任医师、客服、市场等岗位能力要求“学历年龄工作经历发表论文手术经验等”、查目前人员基本满足岗位能力要求；</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0" w:lineRule="atLeast"/>
              <w:ind w:leftChars="0" w:right="0" w:rightChars="0"/>
              <w:jc w:val="left"/>
              <w:textAlignment w:val="auto"/>
              <w:outlineLvl w:val="9"/>
              <w:rPr>
                <w:rFonts w:hint="eastAsia" w:ascii="宋体" w:hAnsi="宋体" w:eastAsia="宋体" w:cs="宋体"/>
                <w:b w:val="0"/>
                <w:bCs w:val="0"/>
                <w:color w:val="auto"/>
                <w:sz w:val="21"/>
                <w:szCs w:val="21"/>
                <w:u w:val="none"/>
              </w:rPr>
            </w:pPr>
            <w:r>
              <w:rPr>
                <w:rFonts w:hint="eastAsia" w:ascii="宋体" w:hAnsi="宋体" w:cs="宋体"/>
                <w:b w:val="0"/>
                <w:bCs w:val="0"/>
                <w:color w:val="auto"/>
                <w:sz w:val="21"/>
                <w:szCs w:val="21"/>
                <w:u w:val="none"/>
                <w:lang w:val="en-US" w:eastAsia="zh-CN"/>
              </w:rPr>
              <w:t>提供“</w:t>
            </w:r>
            <w:r>
              <w:rPr>
                <w:rFonts w:hint="eastAsia" w:ascii="宋体" w:hAnsi="宋体" w:eastAsia="宋体" w:cs="宋体"/>
                <w:b w:val="0"/>
                <w:bCs w:val="0"/>
                <w:color w:val="auto"/>
                <w:sz w:val="21"/>
                <w:szCs w:val="21"/>
                <w:u w:val="none"/>
              </w:rPr>
              <w:t>重要环境因素岗位清单</w:t>
            </w:r>
            <w:r>
              <w:rPr>
                <w:rFonts w:hint="eastAsia" w:ascii="宋体" w:hAnsi="宋体" w:cs="宋体"/>
                <w:b w:val="0"/>
                <w:bCs w:val="0"/>
                <w:color w:val="auto"/>
                <w:sz w:val="21"/>
                <w:szCs w:val="21"/>
                <w:u w:val="none"/>
                <w:lang w:val="en-US" w:eastAsia="zh-CN"/>
              </w:rPr>
              <w:t>”</w:t>
            </w:r>
            <w:r>
              <w:rPr>
                <w:rFonts w:hint="eastAsia" w:ascii="宋体" w:hAnsi="宋体" w:eastAsia="宋体" w:cs="宋体"/>
                <w:b w:val="0"/>
                <w:bCs w:val="0"/>
                <w:color w:val="auto"/>
                <w:sz w:val="21"/>
                <w:szCs w:val="21"/>
                <w:u w:val="none"/>
                <w:lang w:val="en-US" w:eastAsia="zh-CN"/>
              </w:rPr>
              <w:t>抽查</w:t>
            </w:r>
            <w:r>
              <w:rPr>
                <w:rFonts w:hint="eastAsia" w:ascii="宋体" w:hAnsi="宋体" w:eastAsia="宋体" w:cs="宋体"/>
                <w:b w:val="0"/>
                <w:bCs w:val="0"/>
                <w:color w:val="auto"/>
                <w:sz w:val="21"/>
                <w:szCs w:val="21"/>
                <w:u w:val="none"/>
              </w:rPr>
              <w:t>环境监测人员、 危险</w:t>
            </w:r>
            <w:r>
              <w:rPr>
                <w:rFonts w:hint="eastAsia" w:ascii="宋体" w:hAnsi="宋体" w:eastAsia="宋体" w:cs="宋体"/>
                <w:b w:val="0"/>
                <w:bCs w:val="0"/>
                <w:color w:val="auto"/>
                <w:sz w:val="21"/>
                <w:szCs w:val="21"/>
                <w:u w:val="none"/>
                <w:lang w:val="en-US" w:eastAsia="zh-CN"/>
              </w:rPr>
              <w:t>药品</w:t>
            </w:r>
            <w:r>
              <w:rPr>
                <w:rFonts w:hint="eastAsia" w:ascii="宋体" w:hAnsi="宋体" w:eastAsia="宋体" w:cs="宋体"/>
                <w:b w:val="0"/>
                <w:bCs w:val="0"/>
                <w:color w:val="auto"/>
                <w:sz w:val="21"/>
                <w:szCs w:val="21"/>
                <w:u w:val="none"/>
              </w:rPr>
              <w:t>管理人员、</w:t>
            </w:r>
            <w:r>
              <w:rPr>
                <w:rFonts w:hint="eastAsia" w:ascii="宋体" w:hAnsi="宋体" w:eastAsia="宋体" w:cs="宋体"/>
                <w:b w:val="0"/>
                <w:bCs w:val="0"/>
                <w:color w:val="auto"/>
                <w:sz w:val="21"/>
                <w:szCs w:val="21"/>
                <w:u w:val="none"/>
                <w:lang w:val="en-US" w:eastAsia="zh-CN"/>
              </w:rPr>
              <w:t>医废</w:t>
            </w:r>
            <w:r>
              <w:rPr>
                <w:rFonts w:hint="eastAsia" w:ascii="宋体" w:hAnsi="宋体" w:eastAsia="宋体" w:cs="宋体"/>
                <w:b w:val="0"/>
                <w:bCs w:val="0"/>
                <w:color w:val="auto"/>
                <w:sz w:val="21"/>
                <w:szCs w:val="21"/>
                <w:u w:val="none"/>
              </w:rPr>
              <w:t>处理人员、污水处理工、环保</w:t>
            </w:r>
            <w:r>
              <w:rPr>
                <w:rFonts w:hint="eastAsia" w:ascii="宋体" w:hAnsi="宋体" w:eastAsia="宋体" w:cs="宋体"/>
                <w:b w:val="0"/>
                <w:bCs w:val="0"/>
                <w:color w:val="auto"/>
                <w:sz w:val="21"/>
                <w:szCs w:val="21"/>
                <w:u w:val="none"/>
                <w:lang w:val="en-US" w:eastAsia="zh-CN"/>
              </w:rPr>
              <w:t>主要负责人</w:t>
            </w:r>
            <w:r>
              <w:rPr>
                <w:rFonts w:hint="eastAsia" w:ascii="宋体" w:hAnsi="宋体" w:eastAsia="宋体" w:cs="宋体"/>
                <w:b w:val="0"/>
                <w:bCs w:val="0"/>
                <w:color w:val="auto"/>
                <w:sz w:val="21"/>
                <w:szCs w:val="21"/>
                <w:u w:val="none"/>
              </w:rPr>
              <w:t>任职要求</w:t>
            </w:r>
            <w:r>
              <w:rPr>
                <w:rFonts w:hint="eastAsia" w:ascii="宋体" w:hAnsi="宋体" w:eastAsia="宋体" w:cs="宋体"/>
                <w:b w:val="0"/>
                <w:bCs w:val="0"/>
                <w:color w:val="auto"/>
                <w:sz w:val="21"/>
                <w:szCs w:val="21"/>
                <w:u w:val="none"/>
                <w:lang w:val="en-US" w:eastAsia="zh-CN"/>
              </w:rPr>
              <w:t>《</w:t>
            </w:r>
            <w:r>
              <w:rPr>
                <w:rFonts w:hint="eastAsia" w:ascii="宋体" w:hAnsi="宋体" w:eastAsia="宋体" w:cs="宋体"/>
                <w:b w:val="0"/>
                <w:bCs w:val="0"/>
                <w:color w:val="auto"/>
                <w:sz w:val="21"/>
                <w:szCs w:val="21"/>
                <w:u w:val="none"/>
              </w:rPr>
              <w:t>岗位说明书</w:t>
            </w:r>
            <w:r>
              <w:rPr>
                <w:rFonts w:hint="eastAsia" w:ascii="宋体" w:hAnsi="宋体" w:eastAsia="宋体" w:cs="宋体"/>
                <w:b w:val="0"/>
                <w:bCs w:val="0"/>
                <w:color w:val="auto"/>
                <w:sz w:val="21"/>
                <w:szCs w:val="21"/>
                <w:u w:val="none"/>
                <w:lang w:val="en-US" w:eastAsia="zh-CN"/>
              </w:rPr>
              <w:t>》其能力要求</w:t>
            </w:r>
            <w:r>
              <w:rPr>
                <w:rFonts w:hint="eastAsia" w:ascii="宋体" w:hAnsi="宋体" w:eastAsia="宋体" w:cs="宋体"/>
                <w:b w:val="0"/>
                <w:bCs w:val="0"/>
                <w:color w:val="auto"/>
                <w:sz w:val="21"/>
                <w:szCs w:val="21"/>
                <w:u w:val="none"/>
                <w:lang w:eastAsia="zh-CN"/>
              </w:rPr>
              <w:t>“</w:t>
            </w:r>
            <w:r>
              <w:rPr>
                <w:rFonts w:hint="eastAsia" w:ascii="宋体" w:hAnsi="宋体" w:eastAsia="宋体" w:cs="宋体"/>
                <w:b w:val="0"/>
                <w:bCs w:val="0"/>
                <w:color w:val="auto"/>
                <w:sz w:val="21"/>
                <w:szCs w:val="21"/>
                <w:u w:val="none"/>
                <w:lang w:val="en-US" w:eastAsia="zh-CN"/>
              </w:rPr>
              <w:t>工作经验学历环保知识年龄</w:t>
            </w:r>
            <w:r>
              <w:rPr>
                <w:rFonts w:hint="eastAsia" w:ascii="宋体" w:hAnsi="宋体" w:eastAsia="宋体" w:cs="宋体"/>
                <w:b w:val="0"/>
                <w:bCs w:val="0"/>
                <w:color w:val="auto"/>
                <w:sz w:val="21"/>
                <w:szCs w:val="21"/>
                <w:u w:val="none"/>
                <w:lang w:eastAsia="zh-CN"/>
              </w:rPr>
              <w:t>”</w:t>
            </w:r>
            <w:r>
              <w:rPr>
                <w:rFonts w:hint="eastAsia" w:ascii="宋体" w:hAnsi="宋体" w:eastAsia="宋体" w:cs="宋体"/>
                <w:b w:val="0"/>
                <w:bCs w:val="0"/>
                <w:color w:val="auto"/>
                <w:sz w:val="21"/>
                <w:szCs w:val="21"/>
                <w:u w:val="none"/>
                <w:lang w:val="en-US" w:eastAsia="zh-CN"/>
              </w:rPr>
              <w:t>等——查目前人员基本满足要求；</w:t>
            </w:r>
          </w:p>
          <w:p>
            <w:pPr>
              <w:pStyle w:val="2"/>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查《2020-2021年度培训总计划表》16项，抽查1份记录《培训申请表》“质量环境管理体系培训”，包括“质量环境管理体系标准、相关法律法规知识”等，日期2020.8.25、《签到表》显示有营销客服部后勤部等主要负责人签字确认信息、评价方式“现场提问、考试”、全体参培人员成绩合格、评价人员外聘体系老师；</w:t>
            </w:r>
          </w:p>
          <w:p>
            <w:pPr>
              <w:pStyle w:val="2"/>
              <w:rPr>
                <w:rFonts w:hint="default" w:ascii="宋体" w:hAnsi="宋体" w:eastAsia="宋体" w:cs="宋体"/>
                <w:b/>
                <w:bCs/>
                <w:color w:val="FF0000"/>
                <w:sz w:val="21"/>
                <w:szCs w:val="21"/>
                <w:u w:val="none"/>
                <w:lang w:val="en-US" w:eastAsia="zh-CN"/>
              </w:rPr>
            </w:pPr>
            <w:r>
              <w:rPr>
                <w:rFonts w:hint="eastAsia" w:ascii="宋体" w:hAnsi="宋体" w:eastAsia="宋体" w:cs="宋体"/>
                <w:b/>
                <w:bCs/>
                <w:color w:val="FF0000"/>
                <w:sz w:val="21"/>
                <w:szCs w:val="21"/>
                <w:u w:val="none"/>
                <w:lang w:val="en-US" w:eastAsia="zh-CN"/>
              </w:rPr>
              <w:t>查2021年8月25日</w:t>
            </w:r>
            <w:r>
              <w:rPr>
                <w:rFonts w:hint="eastAsia" w:ascii="宋体" w:hAnsi="宋体" w:cs="宋体"/>
                <w:b/>
                <w:bCs/>
                <w:color w:val="FF0000"/>
                <w:sz w:val="21"/>
                <w:szCs w:val="21"/>
                <w:u w:val="none"/>
                <w:lang w:val="en-US" w:eastAsia="zh-CN"/>
              </w:rPr>
              <w:t>人力资源部</w:t>
            </w:r>
            <w:r>
              <w:rPr>
                <w:rFonts w:hint="eastAsia" w:ascii="宋体" w:hAnsi="宋体" w:eastAsia="宋体" w:cs="宋体"/>
                <w:b/>
                <w:bCs/>
                <w:color w:val="FF0000"/>
                <w:sz w:val="21"/>
                <w:szCs w:val="21"/>
                <w:u w:val="none"/>
                <w:lang w:val="en-US" w:eastAsia="zh-CN"/>
              </w:rPr>
              <w:t>组织的“自闭症治疗新进展”培训记录，未有对培训效果的评价证据。</w:t>
            </w:r>
          </w:p>
          <w:p>
            <w:pPr>
              <w:pStyle w:val="2"/>
              <w:rPr>
                <w:rFonts w:hint="default"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医院各专业科室组织了各专业相关的技能、知识的培训，详见各医疗科室7.2条款。</w:t>
            </w:r>
          </w:p>
        </w:tc>
        <w:tc>
          <w:tcPr>
            <w:tcW w:w="1585" w:type="dxa"/>
            <w:vAlign w:val="top"/>
          </w:tc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r>
              <w:rPr>
                <w:rFonts w:hint="eastAsia"/>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2160" w:type="dxa"/>
            <w:vAlign w:val="top"/>
          </w:tcPr>
          <w:p>
            <w:pPr>
              <w:tabs>
                <w:tab w:val="center" w:pos="3169"/>
              </w:tabs>
              <w:spacing w:line="400" w:lineRule="exact"/>
              <w:ind w:firstLine="210" w:firstLineChars="100"/>
              <w:jc w:val="left"/>
              <w:rPr>
                <w:rFonts w:hint="eastAsia" w:ascii="宋体" w:hAnsi="宋体" w:eastAsia="宋体" w:cs="宋体"/>
                <w:color w:val="auto"/>
                <w:sz w:val="21"/>
                <w:szCs w:val="21"/>
                <w:lang w:val="en-US" w:eastAsia="zh-CN"/>
              </w:rPr>
            </w:pPr>
            <w:r>
              <w:rPr>
                <w:rFonts w:hint="eastAsia" w:ascii="宋体" w:hAnsi="宋体" w:cs="宋体"/>
                <w:color w:val="auto"/>
                <w:szCs w:val="21"/>
                <w:lang w:bidi="ar"/>
              </w:rPr>
              <w:t>组织的知识</w:t>
            </w:r>
          </w:p>
        </w:tc>
        <w:tc>
          <w:tcPr>
            <w:tcW w:w="960" w:type="dxa"/>
            <w:vAlign w:val="top"/>
          </w:tcPr>
          <w:p>
            <w:pPr>
              <w:tabs>
                <w:tab w:val="center" w:pos="3169"/>
              </w:tabs>
              <w:spacing w:line="400" w:lineRule="exact"/>
              <w:jc w:val="left"/>
              <w:rPr>
                <w:rFonts w:hint="eastAsia" w:ascii="宋体" w:hAnsi="宋体" w:eastAsia="宋体" w:cs="宋体"/>
                <w:color w:val="auto"/>
                <w:sz w:val="21"/>
                <w:szCs w:val="21"/>
                <w:lang w:val="en-US" w:eastAsia="zh-CN"/>
              </w:rPr>
            </w:pPr>
            <w:r>
              <w:rPr>
                <w:rFonts w:hint="eastAsia" w:ascii="宋体" w:hAnsi="宋体" w:cs="宋体"/>
                <w:color w:val="auto"/>
                <w:szCs w:val="21"/>
                <w:lang w:bidi="ar"/>
              </w:rPr>
              <w:t>Q：7.1.6</w:t>
            </w:r>
          </w:p>
        </w:tc>
        <w:tc>
          <w:tcPr>
            <w:tcW w:w="10004" w:type="dxa"/>
            <w:vAlign w:val="top"/>
          </w:tcPr>
          <w:p>
            <w:pPr>
              <w:autoSpaceDE w:val="0"/>
              <w:autoSpaceDN w:val="0"/>
              <w:spacing w:line="360" w:lineRule="auto"/>
              <w:ind w:firstLine="420" w:firstLineChars="200"/>
              <w:rPr>
                <w:rFonts w:hint="default" w:ascii="宋体" w:hAnsi="宋体" w:eastAsia="宋体"/>
                <w:color w:val="auto"/>
                <w:szCs w:val="21"/>
                <w:lang w:val="en-US" w:eastAsia="zh-CN"/>
              </w:rPr>
            </w:pPr>
            <w:r>
              <w:rPr>
                <w:rFonts w:hint="eastAsia" w:ascii="宋体" w:hAnsi="宋体"/>
                <w:color w:val="auto"/>
                <w:szCs w:val="21"/>
              </w:rPr>
              <w:t>执行知识管理</w:t>
            </w:r>
            <w:r>
              <w:rPr>
                <w:rFonts w:hint="eastAsia" w:ascii="宋体" w:hAnsi="宋体"/>
                <w:color w:val="auto"/>
                <w:szCs w:val="21"/>
                <w:lang w:val="en-US" w:eastAsia="zh-CN"/>
              </w:rPr>
              <w:t>制度</w:t>
            </w:r>
            <w:r>
              <w:rPr>
                <w:rFonts w:hint="eastAsia" w:ascii="宋体" w:hAnsi="宋体"/>
                <w:color w:val="auto"/>
                <w:szCs w:val="21"/>
              </w:rPr>
              <w:t>，企业确定运行过程所需要的知识，包括专业知识、外部知识。提供了《组织知识清单》，有获取方法、更新方式、责任目标等。</w:t>
            </w:r>
            <w:r>
              <w:rPr>
                <w:rFonts w:hint="eastAsia" w:ascii="宋体" w:hAnsi="宋体"/>
                <w:color w:val="auto"/>
                <w:szCs w:val="21"/>
                <w:lang w:val="en-US" w:eastAsia="zh-CN"/>
              </w:rPr>
              <w:t xml:space="preserve">  </w:t>
            </w:r>
          </w:p>
          <w:p>
            <w:pPr>
              <w:autoSpaceDE w:val="0"/>
              <w:autoSpaceDN w:val="0"/>
              <w:spacing w:line="360" w:lineRule="auto"/>
              <w:ind w:firstLine="420" w:firstLineChars="200"/>
              <w:rPr>
                <w:rFonts w:ascii="宋体" w:hAnsi="宋体"/>
                <w:color w:val="auto"/>
                <w:szCs w:val="21"/>
              </w:rPr>
            </w:pPr>
            <w:r>
              <w:rPr>
                <w:rFonts w:hint="eastAsia" w:ascii="宋体" w:hAnsi="宋体"/>
                <w:color w:val="auto"/>
                <w:szCs w:val="21"/>
              </w:rPr>
              <w:t>经组织识别，组织内外部知识包括：外部知识、专业知识、管理经验、教训，不断发现问题、解决问题，通过会议，文件传达或制定有关作业指导书并进行培训。</w:t>
            </w:r>
          </w:p>
          <w:p>
            <w:pPr>
              <w:autoSpaceDE w:val="0"/>
              <w:autoSpaceDN w:val="0"/>
              <w:spacing w:line="360" w:lineRule="auto"/>
              <w:ind w:firstLine="420" w:firstLineChars="200"/>
              <w:rPr>
                <w:rFonts w:ascii="宋体" w:hAnsi="宋体"/>
                <w:color w:val="auto"/>
                <w:szCs w:val="21"/>
              </w:rPr>
            </w:pPr>
            <w:r>
              <w:rPr>
                <w:rFonts w:hint="eastAsia" w:ascii="宋体" w:hAnsi="宋体"/>
                <w:color w:val="auto"/>
                <w:szCs w:val="21"/>
              </w:rPr>
              <w:t>现场看到组织各部门层次基本有相应的管理制度、岗位职责、工作要求等组织内部知识。此外还通过文件发放、会议传达、专题培训等方式进行内部知识的获得、交流和更新等。</w:t>
            </w:r>
          </w:p>
          <w:p>
            <w:pPr>
              <w:tabs>
                <w:tab w:val="center" w:pos="3169"/>
              </w:tabs>
              <w:spacing w:line="400" w:lineRule="exact"/>
              <w:jc w:val="left"/>
              <w:rPr>
                <w:color w:val="auto"/>
              </w:rPr>
            </w:pPr>
            <w:r>
              <w:rPr>
                <w:rFonts w:hint="eastAsia"/>
                <w:color w:val="auto"/>
                <w:lang w:val="en-US" w:eastAsia="zh-CN"/>
              </w:rPr>
              <w:t>综合办公室</w:t>
            </w:r>
            <w:r>
              <w:rPr>
                <w:rFonts w:hint="eastAsia"/>
                <w:color w:val="auto"/>
              </w:rPr>
              <w:t>负责整理收集组织相关的知识，定期更新。</w:t>
            </w:r>
          </w:p>
          <w:p>
            <w:pPr>
              <w:pStyle w:val="4"/>
              <w:ind w:left="0" w:leftChars="0"/>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查医院20201年4月24日参加了由海南省（肿瘤）生物免疫协会组织的“关于举办海南省（肿瘤）生物免疫协会心血管内科专业委员会成立大会暨2021年中国高血压基层医生培训会”。</w:t>
            </w:r>
          </w:p>
          <w:p>
            <w:pPr>
              <w:pStyle w:val="4"/>
              <w:ind w:left="0" w:leftChars="0"/>
              <w:rPr>
                <w:rFonts w:hint="eastAsia" w:ascii="宋体" w:hAnsi="宋体" w:cs="宋体"/>
                <w:b w:val="0"/>
                <w:bCs w:val="0"/>
                <w:color w:val="auto"/>
                <w:sz w:val="21"/>
                <w:szCs w:val="21"/>
                <w:lang w:val="en-US" w:eastAsia="zh-CN"/>
              </w:rPr>
            </w:pPr>
            <w:r>
              <w:rPr>
                <w:color w:val="auto"/>
              </w:rPr>
              <w:drawing>
                <wp:anchor distT="0" distB="0" distL="114300" distR="114300" simplePos="0" relativeHeight="251662336" behindDoc="0" locked="0" layoutInCell="1" allowOverlap="1">
                  <wp:simplePos x="0" y="0"/>
                  <wp:positionH relativeFrom="column">
                    <wp:posOffset>323850</wp:posOffset>
                  </wp:positionH>
                  <wp:positionV relativeFrom="paragraph">
                    <wp:posOffset>105410</wp:posOffset>
                  </wp:positionV>
                  <wp:extent cx="1939290" cy="2611120"/>
                  <wp:effectExtent l="0" t="0" r="3810" b="508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1939290" cy="2611120"/>
                          </a:xfrm>
                          <a:prstGeom prst="rect">
                            <a:avLst/>
                          </a:prstGeom>
                          <a:noFill/>
                          <a:ln>
                            <a:noFill/>
                          </a:ln>
                        </pic:spPr>
                      </pic:pic>
                    </a:graphicData>
                  </a:graphic>
                </wp:anchor>
              </w:drawing>
            </w:r>
            <w:r>
              <w:rPr>
                <w:rFonts w:hint="eastAsia" w:ascii="宋体" w:hAnsi="宋体" w:cs="宋体"/>
                <w:b w:val="0"/>
                <w:bCs w:val="0"/>
                <w:color w:val="auto"/>
                <w:sz w:val="21"/>
                <w:szCs w:val="21"/>
                <w:lang w:val="en-US" w:eastAsia="zh-CN"/>
              </w:rPr>
              <w:drawing>
                <wp:anchor distT="0" distB="0" distL="114300" distR="114300" simplePos="0" relativeHeight="251663360" behindDoc="0" locked="0" layoutInCell="1" allowOverlap="1">
                  <wp:simplePos x="0" y="0"/>
                  <wp:positionH relativeFrom="column">
                    <wp:posOffset>3106420</wp:posOffset>
                  </wp:positionH>
                  <wp:positionV relativeFrom="paragraph">
                    <wp:posOffset>-341630</wp:posOffset>
                  </wp:positionV>
                  <wp:extent cx="2461260" cy="3479800"/>
                  <wp:effectExtent l="0" t="0" r="0" b="2540"/>
                  <wp:wrapNone/>
                  <wp:docPr id="7" name="图片 7" descr="心内专委会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心内专委会签到表"/>
                          <pic:cNvPicPr>
                            <a:picLocks noChangeAspect="1"/>
                          </pic:cNvPicPr>
                        </pic:nvPicPr>
                        <pic:blipFill>
                          <a:blip r:embed="rId9"/>
                          <a:stretch>
                            <a:fillRect/>
                          </a:stretch>
                        </pic:blipFill>
                        <pic:spPr>
                          <a:xfrm rot="5400000">
                            <a:off x="0" y="0"/>
                            <a:ext cx="2461260" cy="3479800"/>
                          </a:xfrm>
                          <a:prstGeom prst="rect">
                            <a:avLst/>
                          </a:prstGeom>
                        </pic:spPr>
                      </pic:pic>
                    </a:graphicData>
                  </a:graphic>
                </wp:anchor>
              </w:drawing>
            </w:r>
          </w:p>
          <w:p>
            <w:pPr>
              <w:pStyle w:val="4"/>
              <w:ind w:left="0" w:leftChars="0"/>
              <w:rPr>
                <w:rFonts w:hint="eastAsia" w:ascii="宋体" w:hAnsi="宋体" w:cs="宋体"/>
                <w:b w:val="0"/>
                <w:bCs w:val="0"/>
                <w:color w:val="auto"/>
                <w:sz w:val="21"/>
                <w:szCs w:val="21"/>
                <w:lang w:val="en-US" w:eastAsia="zh-CN"/>
              </w:rPr>
            </w:pPr>
          </w:p>
          <w:p>
            <w:pPr>
              <w:pStyle w:val="4"/>
              <w:ind w:left="0" w:leftChars="0"/>
              <w:rPr>
                <w:rFonts w:hint="eastAsia" w:ascii="宋体" w:hAnsi="宋体" w:cs="宋体"/>
                <w:b w:val="0"/>
                <w:bCs w:val="0"/>
                <w:color w:val="auto"/>
                <w:sz w:val="21"/>
                <w:szCs w:val="21"/>
                <w:lang w:val="en-US" w:eastAsia="zh-CN"/>
              </w:rPr>
            </w:pPr>
          </w:p>
          <w:p>
            <w:pPr>
              <w:pStyle w:val="4"/>
              <w:ind w:left="0" w:leftChars="0"/>
              <w:rPr>
                <w:rFonts w:hint="eastAsia" w:ascii="宋体" w:hAnsi="宋体" w:cs="宋体"/>
                <w:b w:val="0"/>
                <w:bCs w:val="0"/>
                <w:color w:val="auto"/>
                <w:sz w:val="21"/>
                <w:szCs w:val="21"/>
                <w:lang w:val="en-US" w:eastAsia="zh-CN"/>
              </w:rPr>
            </w:pPr>
          </w:p>
          <w:p>
            <w:pPr>
              <w:pStyle w:val="4"/>
              <w:ind w:left="0" w:leftChars="0"/>
              <w:rPr>
                <w:rFonts w:hint="eastAsia" w:ascii="宋体" w:hAnsi="宋体" w:cs="宋体"/>
                <w:b w:val="0"/>
                <w:bCs w:val="0"/>
                <w:color w:val="auto"/>
                <w:sz w:val="21"/>
                <w:szCs w:val="21"/>
                <w:lang w:val="en-US" w:eastAsia="zh-CN"/>
              </w:rPr>
            </w:pPr>
          </w:p>
          <w:p>
            <w:pPr>
              <w:pStyle w:val="4"/>
              <w:ind w:left="0" w:leftChars="0"/>
              <w:rPr>
                <w:rFonts w:hint="eastAsia" w:ascii="宋体" w:hAnsi="宋体" w:cs="宋体"/>
                <w:b w:val="0"/>
                <w:bCs w:val="0"/>
                <w:color w:val="auto"/>
                <w:sz w:val="21"/>
                <w:szCs w:val="21"/>
                <w:lang w:val="en-US" w:eastAsia="zh-CN"/>
              </w:rPr>
            </w:pPr>
          </w:p>
          <w:p>
            <w:pPr>
              <w:pStyle w:val="4"/>
              <w:ind w:left="0" w:leftChars="0"/>
              <w:rPr>
                <w:rFonts w:hint="eastAsia" w:ascii="宋体" w:hAnsi="宋体" w:cs="宋体"/>
                <w:b w:val="0"/>
                <w:bCs w:val="0"/>
                <w:color w:val="auto"/>
                <w:sz w:val="21"/>
                <w:szCs w:val="21"/>
                <w:lang w:val="en-US" w:eastAsia="zh-CN"/>
              </w:rPr>
            </w:pPr>
          </w:p>
          <w:p>
            <w:pPr>
              <w:pStyle w:val="4"/>
              <w:ind w:left="0" w:leftChars="0"/>
              <w:rPr>
                <w:rFonts w:hint="eastAsia" w:ascii="宋体" w:hAnsi="宋体" w:cs="宋体"/>
                <w:b w:val="0"/>
                <w:bCs w:val="0"/>
                <w:color w:val="auto"/>
                <w:sz w:val="21"/>
                <w:szCs w:val="21"/>
                <w:lang w:val="en-US" w:eastAsia="zh-CN"/>
              </w:rPr>
            </w:pPr>
          </w:p>
          <w:p>
            <w:pPr>
              <w:pStyle w:val="4"/>
              <w:ind w:left="0" w:leftChars="0"/>
              <w:rPr>
                <w:rFonts w:hint="default" w:ascii="宋体" w:hAnsi="宋体" w:cs="宋体"/>
                <w:b w:val="0"/>
                <w:bCs w:val="0"/>
                <w:color w:val="auto"/>
                <w:sz w:val="21"/>
                <w:szCs w:val="21"/>
                <w:lang w:val="en-US" w:eastAsia="zh-CN"/>
              </w:rPr>
            </w:pPr>
            <w:r>
              <w:rPr>
                <w:rFonts w:hint="default" w:ascii="宋体" w:hAnsi="宋体" w:cs="宋体"/>
                <w:b w:val="0"/>
                <w:bCs w:val="0"/>
                <w:color w:val="auto"/>
                <w:sz w:val="21"/>
                <w:szCs w:val="21"/>
                <w:lang w:val="en-US" w:eastAsia="zh-CN"/>
              </w:rPr>
              <w:drawing>
                <wp:anchor distT="0" distB="0" distL="114300" distR="114300" simplePos="0" relativeHeight="251665408" behindDoc="0" locked="0" layoutInCell="1" allowOverlap="1">
                  <wp:simplePos x="0" y="0"/>
                  <wp:positionH relativeFrom="column">
                    <wp:posOffset>3079750</wp:posOffset>
                  </wp:positionH>
                  <wp:positionV relativeFrom="paragraph">
                    <wp:posOffset>84455</wp:posOffset>
                  </wp:positionV>
                  <wp:extent cx="3120390" cy="1864995"/>
                  <wp:effectExtent l="0" t="0" r="3810" b="1905"/>
                  <wp:wrapNone/>
                  <wp:docPr id="9" name="图片 9" descr="3526a15c6f35240405815af77aa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526a15c6f35240405815af77aa1180"/>
                          <pic:cNvPicPr>
                            <a:picLocks noChangeAspect="1"/>
                          </pic:cNvPicPr>
                        </pic:nvPicPr>
                        <pic:blipFill>
                          <a:blip r:embed="rId10"/>
                          <a:stretch>
                            <a:fillRect/>
                          </a:stretch>
                        </pic:blipFill>
                        <pic:spPr>
                          <a:xfrm>
                            <a:off x="0" y="0"/>
                            <a:ext cx="3120390" cy="1864995"/>
                          </a:xfrm>
                          <a:prstGeom prst="rect">
                            <a:avLst/>
                          </a:prstGeom>
                        </pic:spPr>
                      </pic:pic>
                    </a:graphicData>
                  </a:graphic>
                </wp:anchor>
              </w:drawing>
            </w:r>
            <w:r>
              <w:rPr>
                <w:rFonts w:hint="default" w:ascii="宋体" w:hAnsi="宋体" w:cs="宋体"/>
                <w:b w:val="0"/>
                <w:bCs w:val="0"/>
                <w:color w:val="auto"/>
                <w:sz w:val="21"/>
                <w:szCs w:val="21"/>
                <w:lang w:val="en-US" w:eastAsia="zh-CN"/>
              </w:rPr>
              <w:drawing>
                <wp:anchor distT="0" distB="0" distL="114300" distR="114300" simplePos="0" relativeHeight="251664384" behindDoc="0" locked="0" layoutInCell="1" allowOverlap="1">
                  <wp:simplePos x="0" y="0"/>
                  <wp:positionH relativeFrom="column">
                    <wp:posOffset>-31750</wp:posOffset>
                  </wp:positionH>
                  <wp:positionV relativeFrom="paragraph">
                    <wp:posOffset>77470</wp:posOffset>
                  </wp:positionV>
                  <wp:extent cx="3039745" cy="1863725"/>
                  <wp:effectExtent l="0" t="0" r="8255" b="3175"/>
                  <wp:wrapNone/>
                  <wp:docPr id="8" name="图片 8" descr="247f783281f443869ad837d54c48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7f783281f443869ad837d54c4810a"/>
                          <pic:cNvPicPr>
                            <a:picLocks noChangeAspect="1"/>
                          </pic:cNvPicPr>
                        </pic:nvPicPr>
                        <pic:blipFill>
                          <a:blip r:embed="rId11"/>
                          <a:stretch>
                            <a:fillRect/>
                          </a:stretch>
                        </pic:blipFill>
                        <pic:spPr>
                          <a:xfrm>
                            <a:off x="0" y="0"/>
                            <a:ext cx="3039745" cy="1863725"/>
                          </a:xfrm>
                          <a:prstGeom prst="rect">
                            <a:avLst/>
                          </a:prstGeom>
                        </pic:spPr>
                      </pic:pic>
                    </a:graphicData>
                  </a:graphic>
                </wp:anchor>
              </w:drawing>
            </w:r>
          </w:p>
          <w:p>
            <w:pPr>
              <w:pStyle w:val="4"/>
              <w:ind w:left="0" w:leftChars="0"/>
              <w:rPr>
                <w:rFonts w:hint="default" w:ascii="宋体" w:hAnsi="宋体" w:cs="宋体"/>
                <w:b w:val="0"/>
                <w:bCs w:val="0"/>
                <w:color w:val="auto"/>
                <w:sz w:val="21"/>
                <w:szCs w:val="21"/>
                <w:lang w:val="en-US" w:eastAsia="zh-CN"/>
              </w:rPr>
            </w:pPr>
          </w:p>
          <w:p>
            <w:pPr>
              <w:pStyle w:val="4"/>
              <w:ind w:left="0" w:leftChars="0"/>
              <w:rPr>
                <w:rFonts w:hint="default" w:ascii="宋体" w:hAnsi="宋体" w:cs="宋体"/>
                <w:b w:val="0"/>
                <w:bCs w:val="0"/>
                <w:color w:val="auto"/>
                <w:sz w:val="21"/>
                <w:szCs w:val="21"/>
                <w:lang w:val="en-US" w:eastAsia="zh-CN"/>
              </w:rPr>
            </w:pPr>
          </w:p>
          <w:p>
            <w:pPr>
              <w:pStyle w:val="4"/>
              <w:ind w:left="0" w:leftChars="0"/>
              <w:rPr>
                <w:rFonts w:hint="default" w:ascii="宋体" w:hAnsi="宋体" w:cs="宋体"/>
                <w:b w:val="0"/>
                <w:bCs w:val="0"/>
                <w:color w:val="auto"/>
                <w:sz w:val="21"/>
                <w:szCs w:val="21"/>
                <w:lang w:val="en-US" w:eastAsia="zh-CN"/>
              </w:rPr>
            </w:pPr>
          </w:p>
          <w:p>
            <w:pPr>
              <w:pStyle w:val="4"/>
              <w:ind w:left="0" w:leftChars="0"/>
              <w:rPr>
                <w:rFonts w:hint="default" w:ascii="宋体" w:hAnsi="宋体" w:cs="宋体"/>
                <w:b w:val="0"/>
                <w:bCs w:val="0"/>
                <w:color w:val="auto"/>
                <w:sz w:val="21"/>
                <w:szCs w:val="21"/>
                <w:lang w:val="en-US" w:eastAsia="zh-CN"/>
              </w:rPr>
            </w:pPr>
          </w:p>
          <w:p>
            <w:pPr>
              <w:pStyle w:val="4"/>
              <w:ind w:left="0" w:leftChars="0"/>
              <w:rPr>
                <w:rFonts w:hint="default" w:ascii="宋体" w:hAnsi="宋体" w:cs="宋体"/>
                <w:b w:val="0"/>
                <w:bCs w:val="0"/>
                <w:color w:val="auto"/>
                <w:sz w:val="21"/>
                <w:szCs w:val="21"/>
                <w:lang w:val="en-US" w:eastAsia="zh-CN"/>
              </w:rPr>
            </w:pPr>
          </w:p>
        </w:tc>
        <w:tc>
          <w:tcPr>
            <w:tcW w:w="1585" w:type="dxa"/>
            <w:vAlign w:val="top"/>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beforeLines="0" w:afterLines="0" w:line="0" w:lineRule="atLeast"/>
              <w:ind w:left="0" w:leftChars="0" w:right="0" w:rightChars="0" w:firstLine="0" w:firstLineChars="0"/>
              <w:jc w:val="left"/>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沟通</w:t>
            </w:r>
          </w:p>
          <w:p>
            <w:pPr>
              <w:keepNext w:val="0"/>
              <w:keepLines w:val="0"/>
              <w:pageBreakBefore w:val="0"/>
              <w:widowControl w:val="0"/>
              <w:kinsoku/>
              <w:wordWrap/>
              <w:overflowPunct/>
              <w:topLinePunct w:val="0"/>
              <w:autoSpaceDE/>
              <w:autoSpaceDN/>
              <w:bidi w:val="0"/>
              <w:adjustRightInd/>
              <w:snapToGrid/>
              <w:spacing w:beforeLines="0" w:afterLines="0" w:line="0" w:lineRule="atLeast"/>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beforeLines="0" w:afterLines="0" w:line="0" w:lineRule="atLeast"/>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QE</w:t>
            </w:r>
            <w:r>
              <w:rPr>
                <w:rFonts w:hint="eastAsia" w:ascii="宋体" w:hAnsi="宋体" w:eastAsia="宋体" w:cs="宋体"/>
                <w:b w:val="0"/>
                <w:bCs w:val="0"/>
                <w:color w:val="auto"/>
                <w:sz w:val="21"/>
                <w:szCs w:val="21"/>
                <w:lang w:val="en-US" w:eastAsia="zh-CN"/>
              </w:rPr>
              <w:t>7.4</w:t>
            </w:r>
          </w:p>
          <w:p>
            <w:pPr>
              <w:keepNext w:val="0"/>
              <w:keepLines w:val="0"/>
              <w:pageBreakBefore w:val="0"/>
              <w:widowControl w:val="0"/>
              <w:kinsoku/>
              <w:wordWrap/>
              <w:overflowPunct/>
              <w:topLinePunct w:val="0"/>
              <w:autoSpaceDE/>
              <w:autoSpaceDN/>
              <w:bidi w:val="0"/>
              <w:adjustRightInd/>
              <w:snapToGrid/>
              <w:spacing w:beforeLines="0" w:afterLines="0" w:line="0" w:lineRule="atLeast"/>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p>
        </w:tc>
        <w:tc>
          <w:tcPr>
            <w:tcW w:w="10004" w:type="dxa"/>
            <w:vAlign w:val="center"/>
          </w:tcPr>
          <w:p>
            <w:pPr>
              <w:spacing w:line="360" w:lineRule="auto"/>
              <w:rPr>
                <w:rFonts w:hint="eastAsia"/>
                <w:lang w:val="en-US" w:eastAsia="zh-CN"/>
              </w:rPr>
            </w:pPr>
            <w:r>
              <w:rPr>
                <w:rFonts w:hint="eastAsia"/>
                <w:lang w:val="en-US" w:eastAsia="zh-CN"/>
              </w:rPr>
              <w:t>医院负责人创造使员工参与管理体系事务的氛围。</w:t>
            </w:r>
          </w:p>
          <w:p>
            <w:pPr>
              <w:spacing w:line="360" w:lineRule="auto"/>
              <w:rPr>
                <w:rFonts w:hint="eastAsia"/>
                <w:lang w:val="en-US" w:eastAsia="zh-CN"/>
              </w:rPr>
            </w:pPr>
            <w:r>
              <w:rPr>
                <w:rFonts w:hint="eastAsia"/>
                <w:lang w:val="en-US" w:eastAsia="zh-CN"/>
              </w:rPr>
              <w:t>公司综合办公室就质量、环境信息在企业各层次及相关方进行沟通。员工要了解关于参与的安排事宜，员工要了解谁是职业健康安全的员工代表和指定的体系负责人。</w:t>
            </w:r>
          </w:p>
          <w:p>
            <w:pPr>
              <w:spacing w:line="360" w:lineRule="auto"/>
              <w:rPr>
                <w:rFonts w:hint="eastAsia"/>
                <w:lang w:val="en-US" w:eastAsia="zh-CN"/>
              </w:rPr>
            </w:pPr>
            <w:r>
              <w:rPr>
                <w:rFonts w:hint="eastAsia"/>
                <w:lang w:val="en-US" w:eastAsia="zh-CN"/>
              </w:rPr>
              <w:t>公司鼓励非管理类员工参与下述活动： </w:t>
            </w:r>
          </w:p>
          <w:p>
            <w:pPr>
              <w:spacing w:line="360" w:lineRule="auto"/>
              <w:rPr>
                <w:rFonts w:hint="eastAsia"/>
                <w:lang w:val="en-US" w:eastAsia="zh-CN"/>
              </w:rPr>
            </w:pPr>
            <w:r>
              <w:rPr>
                <w:rFonts w:hint="eastAsia"/>
                <w:lang w:val="en-US" w:eastAsia="zh-CN"/>
              </w:rPr>
              <w:t>—确定他们参与和协商的机制；  —环境因素辨识和风险评价； —控制环境因素和风险的措施； —识别能力、培训和培训评价的需求；—确定需要沟通的信息以及如何沟通； —确定控制措施及其有效应用； —调查事件和不符合并确定纠正措施； </w:t>
            </w:r>
          </w:p>
          <w:p>
            <w:pPr>
              <w:spacing w:line="360" w:lineRule="auto"/>
              <w:rPr>
                <w:rFonts w:hint="eastAsia"/>
                <w:lang w:val="en-US" w:eastAsia="zh-CN"/>
              </w:rPr>
            </w:pPr>
            <w:r>
              <w:rPr>
                <w:rFonts w:hint="eastAsia"/>
                <w:lang w:val="en-US" w:eastAsia="zh-CN"/>
              </w:rPr>
              <w:t>公司鼓励非管理类员工参与协商下述活动： </w:t>
            </w:r>
          </w:p>
          <w:p>
            <w:pPr>
              <w:spacing w:line="360" w:lineRule="auto"/>
              <w:rPr>
                <w:rFonts w:hint="eastAsia"/>
                <w:lang w:val="en-US" w:eastAsia="zh-CN"/>
              </w:rPr>
            </w:pPr>
            <w:r>
              <w:rPr>
                <w:rFonts w:hint="eastAsia"/>
                <w:lang w:val="en-US" w:eastAsia="zh-CN"/>
              </w:rPr>
              <w:t>—确定相关方的需求和期望； —制定方针；  —适用时分配组织的岗位、职责、责任和权限； —确定如何应用法律法规要求和其他要求； —制定职业健康安全目标；  —确定哪些需要监视、测量和评价； —策划、建立、实施并保持一个或多个审核方案； —建立一个或多个持续改进过程。</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沟通方式：定期部门会议，简报，电子邮件，企业内网、OA系统、另电话传真、微信、QQ、门口电子大屏幕；</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 xml:space="preserve">内部沟通：医院各科室之间信息交流、目标顾客信息传递其他部门跟进、内部问题信息传递等 </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外部沟通：质量监督局和环保局、安监局沟通包括在上述沟通记录中；</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沟通时机：随时；</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沟通对象：公司内部相关部门例如部门和团队沟通、销售和市场等；外部相关组织、顾客、供应商、用于外包服务的其它外方。</w:t>
            </w:r>
          </w:p>
          <w:p>
            <w:pPr>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责任人：当事人；</w:t>
            </w:r>
          </w:p>
        </w:tc>
        <w:tc>
          <w:tcPr>
            <w:tcW w:w="1585" w:type="dxa"/>
            <w:vAlign w:val="top"/>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2160" w:type="dxa"/>
            <w:vAlign w:val="top"/>
          </w:tcPr>
          <w:p>
            <w:pPr>
              <w:jc w:val="center"/>
              <w:rPr>
                <w:rFonts w:hint="eastAsia" w:ascii="宋体" w:hAnsi="宋体" w:cs="宋体"/>
                <w:b w:val="0"/>
                <w:bCs w:val="0"/>
                <w:color w:val="auto"/>
                <w:sz w:val="21"/>
                <w:szCs w:val="21"/>
                <w:lang w:val="en-US" w:eastAsia="zh-CN"/>
              </w:rPr>
            </w:pPr>
            <w:r>
              <w:rPr>
                <w:rFonts w:hint="eastAsia"/>
                <w:sz w:val="21"/>
                <w:szCs w:val="21"/>
              </w:rPr>
              <w:t>形成文件的信息</w:t>
            </w:r>
          </w:p>
        </w:tc>
        <w:tc>
          <w:tcPr>
            <w:tcW w:w="960" w:type="dxa"/>
            <w:vAlign w:val="top"/>
          </w:tcPr>
          <w:p>
            <w:pPr>
              <w:rPr>
                <w:rFonts w:hint="eastAsia" w:ascii="宋体" w:hAnsi="宋体" w:cs="宋体"/>
                <w:b w:val="0"/>
                <w:bCs w:val="0"/>
                <w:color w:val="auto"/>
                <w:sz w:val="21"/>
                <w:szCs w:val="21"/>
                <w:lang w:val="en-US" w:eastAsia="zh-CN"/>
              </w:rPr>
            </w:pPr>
            <w:r>
              <w:rPr>
                <w:rFonts w:hint="eastAsia"/>
                <w:sz w:val="21"/>
                <w:szCs w:val="21"/>
                <w:lang w:val="en-US" w:eastAsia="zh-CN"/>
              </w:rPr>
              <w:t>QE7.5</w:t>
            </w:r>
          </w:p>
        </w:tc>
        <w:tc>
          <w:tcPr>
            <w:tcW w:w="10004" w:type="dxa"/>
            <w:vAlign w:val="top"/>
          </w:tcPr>
          <w:p>
            <w:pPr>
              <w:spacing w:line="360" w:lineRule="auto"/>
              <w:ind w:firstLine="420" w:firstLineChars="200"/>
              <w:rPr>
                <w:rFonts w:ascii="宋体" w:hAnsi="宋体"/>
                <w:sz w:val="21"/>
                <w:szCs w:val="21"/>
              </w:rPr>
            </w:pPr>
            <w:r>
              <w:rPr>
                <w:rFonts w:hint="eastAsia" w:ascii="宋体" w:hAnsi="宋体"/>
                <w:sz w:val="21"/>
                <w:szCs w:val="21"/>
              </w:rPr>
              <w:t>公司编制了“</w:t>
            </w:r>
            <w:r>
              <w:rPr>
                <w:rFonts w:hint="eastAsia" w:hAnsi="宋体" w:cs="宋体"/>
                <w:sz w:val="21"/>
                <w:szCs w:val="21"/>
                <w:lang w:eastAsia="zh-CN"/>
              </w:rPr>
              <w:t>文件控制程序</w:t>
            </w:r>
            <w:r>
              <w:rPr>
                <w:rFonts w:hint="eastAsia" w:ascii="宋体" w:hAnsi="宋体"/>
                <w:sz w:val="21"/>
                <w:szCs w:val="21"/>
              </w:rPr>
              <w:t>”，规定了形成文件的信息控制要求。</w:t>
            </w:r>
          </w:p>
          <w:p>
            <w:pPr>
              <w:spacing w:line="360" w:lineRule="auto"/>
              <w:rPr>
                <w:sz w:val="21"/>
                <w:szCs w:val="21"/>
              </w:rPr>
            </w:pPr>
            <w:r>
              <w:rPr>
                <w:rFonts w:hint="eastAsia" w:ascii="宋体" w:hAnsi="宋体"/>
                <w:sz w:val="21"/>
                <w:szCs w:val="21"/>
              </w:rPr>
              <w:t>查《文件清单》，共登记质量</w:t>
            </w:r>
            <w:r>
              <w:rPr>
                <w:rFonts w:hint="eastAsia" w:ascii="宋体" w:hAnsi="宋体"/>
                <w:sz w:val="21"/>
                <w:szCs w:val="21"/>
                <w:lang w:val="en-US" w:eastAsia="zh-CN"/>
              </w:rPr>
              <w:t>环境</w:t>
            </w:r>
            <w:r>
              <w:rPr>
                <w:rFonts w:hint="eastAsia" w:ascii="宋体" w:hAnsi="宋体"/>
                <w:sz w:val="21"/>
                <w:szCs w:val="21"/>
              </w:rPr>
              <w:t>手册、程序文件汇编一套（</w:t>
            </w:r>
            <w:r>
              <w:rPr>
                <w:rFonts w:hint="eastAsia" w:ascii="宋体" w:hAnsi="宋体"/>
                <w:color w:val="auto"/>
                <w:sz w:val="21"/>
                <w:szCs w:val="21"/>
                <w:lang w:val="en-US" w:eastAsia="zh-CN"/>
              </w:rPr>
              <w:t>56</w:t>
            </w:r>
            <w:r>
              <w:rPr>
                <w:rFonts w:hint="eastAsia" w:ascii="宋体" w:hAnsi="宋体"/>
                <w:sz w:val="21"/>
                <w:szCs w:val="21"/>
              </w:rPr>
              <w:t>个）、三层次管理制度/作业指导书</w:t>
            </w:r>
            <w:r>
              <w:rPr>
                <w:rFonts w:hint="eastAsia" w:ascii="宋体" w:hAnsi="宋体"/>
                <w:sz w:val="21"/>
                <w:szCs w:val="21"/>
                <w:lang w:eastAsia="zh-CN"/>
              </w:rPr>
              <w:t>，</w:t>
            </w:r>
            <w:r>
              <w:rPr>
                <w:rFonts w:hint="eastAsia" w:ascii="宋体" w:hAnsi="宋体"/>
                <w:sz w:val="21"/>
                <w:szCs w:val="21"/>
              </w:rPr>
              <w:t>与:内科、外科、医疗美容科、肿瘤科、麻醉科、医学检验科、医学影像科的医疗服务（限许可范围内）所涉及场所的相关环境管理活动</w:t>
            </w:r>
            <w:r>
              <w:rPr>
                <w:rFonts w:hint="eastAsia" w:ascii="宋体" w:hAnsi="宋体" w:cs="宋体"/>
                <w:sz w:val="21"/>
                <w:szCs w:val="21"/>
              </w:rPr>
              <w:t>相关法律法规、标准（</w:t>
            </w:r>
            <w:r>
              <w:rPr>
                <w:rFonts w:hint="eastAsia" w:ascii="宋体" w:hAnsi="宋体" w:cs="宋体"/>
                <w:color w:val="auto"/>
                <w:sz w:val="21"/>
                <w:szCs w:val="21"/>
                <w:lang w:val="en-US" w:eastAsia="zh-CN"/>
              </w:rPr>
              <w:t>56</w:t>
            </w:r>
            <w:r>
              <w:rPr>
                <w:rFonts w:hint="eastAsia" w:ascii="宋体" w:hAnsi="宋体" w:cs="宋体"/>
                <w:sz w:val="21"/>
                <w:szCs w:val="21"/>
              </w:rPr>
              <w:t>个）</w:t>
            </w:r>
            <w:r>
              <w:rPr>
                <w:rFonts w:hint="eastAsia" w:ascii="宋体" w:hAnsi="宋体"/>
                <w:sz w:val="21"/>
                <w:szCs w:val="21"/>
              </w:rPr>
              <w:t>等</w:t>
            </w:r>
          </w:p>
          <w:p>
            <w:pPr>
              <w:spacing w:line="240" w:lineRule="auto"/>
              <w:ind w:firstLine="420" w:firstLineChars="200"/>
              <w:rPr>
                <w:rFonts w:ascii="宋体" w:hAnsi="宋体"/>
                <w:sz w:val="21"/>
                <w:szCs w:val="21"/>
              </w:rPr>
            </w:pPr>
            <w:r>
              <w:rPr>
                <w:rFonts w:hint="eastAsia" w:ascii="宋体" w:hAnsi="宋体"/>
                <w:sz w:val="21"/>
                <w:szCs w:val="21"/>
              </w:rPr>
              <w:t>抽查</w:t>
            </w:r>
            <w:r>
              <w:rPr>
                <w:rFonts w:hint="eastAsia" w:ascii="宋体" w:hAnsi="宋体"/>
                <w:sz w:val="21"/>
                <w:szCs w:val="21"/>
                <w:lang w:eastAsia="zh-CN"/>
              </w:rPr>
              <w:t>办公室</w:t>
            </w:r>
            <w:r>
              <w:rPr>
                <w:rFonts w:hint="eastAsia" w:ascii="宋体" w:hAnsi="宋体"/>
                <w:sz w:val="21"/>
                <w:szCs w:val="21"/>
              </w:rPr>
              <w:t>保存如下文件：</w:t>
            </w:r>
          </w:p>
          <w:p>
            <w:pPr>
              <w:spacing w:line="240" w:lineRule="auto"/>
              <w:ind w:firstLine="420" w:firstLineChars="200"/>
              <w:rPr>
                <w:rFonts w:ascii="宋体" w:hAnsi="宋体"/>
                <w:sz w:val="21"/>
                <w:szCs w:val="21"/>
              </w:rPr>
            </w:pPr>
            <w:r>
              <w:rPr>
                <w:rFonts w:hint="eastAsia" w:ascii="宋体" w:hAnsi="宋体"/>
                <w:sz w:val="21"/>
                <w:szCs w:val="21"/>
              </w:rPr>
              <w:t xml:space="preserve">文件名称 </w:t>
            </w:r>
            <w:r>
              <w:rPr>
                <w:rFonts w:ascii="宋体" w:hAnsi="宋体"/>
                <w:sz w:val="21"/>
                <w:szCs w:val="21"/>
              </w:rPr>
              <w:t xml:space="preserve">               </w:t>
            </w:r>
            <w:r>
              <w:rPr>
                <w:rFonts w:hint="eastAsia" w:ascii="宋体" w:hAnsi="宋体"/>
                <w:sz w:val="21"/>
                <w:szCs w:val="21"/>
              </w:rPr>
              <w:t xml:space="preserve">文件编号 </w:t>
            </w:r>
            <w:r>
              <w:rPr>
                <w:rFonts w:ascii="宋体" w:hAnsi="宋体"/>
                <w:sz w:val="21"/>
                <w:szCs w:val="21"/>
              </w:rPr>
              <w:t xml:space="preserve">     </w:t>
            </w:r>
            <w:r>
              <w:rPr>
                <w:rFonts w:hint="eastAsia" w:ascii="宋体" w:hAnsi="宋体"/>
                <w:sz w:val="21"/>
                <w:szCs w:val="21"/>
              </w:rPr>
              <w:t>修订状态  发布日期</w:t>
            </w:r>
          </w:p>
          <w:p>
            <w:pPr>
              <w:spacing w:line="240" w:lineRule="auto"/>
              <w:ind w:firstLine="420" w:firstLineChars="200"/>
              <w:rPr>
                <w:rFonts w:asciiTheme="minorEastAsia" w:hAnsiTheme="minorEastAsia" w:eastAsiaTheme="minorEastAsia"/>
                <w:b/>
                <w:sz w:val="21"/>
                <w:szCs w:val="21"/>
              </w:rPr>
            </w:pPr>
            <w:r>
              <w:rPr>
                <w:rFonts w:hint="eastAsia" w:ascii="宋体" w:hAnsi="宋体"/>
                <w:sz w:val="21"/>
                <w:szCs w:val="21"/>
              </w:rPr>
              <w:t>质量</w:t>
            </w:r>
            <w:r>
              <w:rPr>
                <w:rFonts w:hint="eastAsia" w:ascii="宋体" w:hAnsi="宋体"/>
                <w:sz w:val="21"/>
                <w:szCs w:val="21"/>
                <w:lang w:val="en-US" w:eastAsia="zh-CN"/>
              </w:rPr>
              <w:t>环境</w:t>
            </w:r>
            <w:r>
              <w:rPr>
                <w:rFonts w:hint="eastAsia" w:ascii="宋体" w:hAnsi="宋体"/>
                <w:sz w:val="21"/>
                <w:szCs w:val="21"/>
              </w:rPr>
              <w:t xml:space="preserve">手册 </w:t>
            </w:r>
            <w:r>
              <w:rPr>
                <w:rFonts w:asciiTheme="majorEastAsia" w:hAnsiTheme="majorEastAsia" w:eastAsiaTheme="majorEastAsia" w:cstheme="majorEastAsia"/>
                <w:sz w:val="21"/>
                <w:szCs w:val="21"/>
              </w:rPr>
              <w:t xml:space="preserve">       </w:t>
            </w:r>
            <w:r>
              <w:rPr>
                <w:rFonts w:hint="eastAsia" w:asciiTheme="majorEastAsia" w:hAnsiTheme="majorEastAsia" w:eastAsiaTheme="majorEastAsia" w:cstheme="majorEastAsia"/>
                <w:sz w:val="21"/>
                <w:szCs w:val="21"/>
                <w:lang w:val="en-US" w:eastAsia="zh-CN"/>
              </w:rPr>
              <w:t xml:space="preserve">  </w:t>
            </w:r>
            <w:r>
              <w:rPr>
                <w:rFonts w:asciiTheme="majorEastAsia" w:hAnsiTheme="majorEastAsia" w:eastAsiaTheme="majorEastAsia" w:cstheme="majorEastAsia"/>
                <w:sz w:val="21"/>
                <w:szCs w:val="21"/>
              </w:rPr>
              <w:t xml:space="preserve"> </w:t>
            </w:r>
            <w:r>
              <w:rPr>
                <w:rFonts w:hint="eastAsia" w:ascii="宋体" w:hAnsi="宋体"/>
                <w:sz w:val="21"/>
                <w:szCs w:val="21"/>
              </w:rPr>
              <w:t xml:space="preserve"> BA-QEM-01</w:t>
            </w:r>
            <w:r>
              <w:rPr>
                <w:rFonts w:hint="eastAsia" w:ascii="宋体" w:hAnsi="宋体"/>
                <w:sz w:val="21"/>
                <w:szCs w:val="21"/>
                <w:lang w:val="en-US" w:eastAsia="zh-CN"/>
              </w:rPr>
              <w:t xml:space="preserve"> </w:t>
            </w:r>
            <w:r>
              <w:rPr>
                <w:rFonts w:hint="eastAsia" w:ascii="宋体" w:hAnsi="宋体"/>
                <w:sz w:val="21"/>
                <w:szCs w:val="21"/>
              </w:rPr>
              <w:t xml:space="preserve">      A/0    </w:t>
            </w:r>
            <w:r>
              <w:rPr>
                <w:rFonts w:hint="eastAsia" w:ascii="宋体" w:hAnsi="宋体"/>
                <w:sz w:val="21"/>
                <w:szCs w:val="21"/>
                <w:lang w:val="en-US" w:eastAsia="zh-CN"/>
              </w:rPr>
              <w:t xml:space="preserve"> </w:t>
            </w:r>
            <w:r>
              <w:rPr>
                <w:rFonts w:hint="eastAsia" w:ascii="宋体" w:hAnsi="宋体"/>
                <w:sz w:val="21"/>
                <w:szCs w:val="21"/>
              </w:rPr>
              <w:t>20</w:t>
            </w:r>
            <w:r>
              <w:rPr>
                <w:rFonts w:hint="eastAsia" w:ascii="宋体" w:hAnsi="宋体"/>
                <w:sz w:val="21"/>
                <w:szCs w:val="21"/>
                <w:lang w:val="en-US" w:eastAsia="zh-CN"/>
              </w:rPr>
              <w:t>20</w:t>
            </w:r>
            <w:r>
              <w:rPr>
                <w:rFonts w:hint="eastAsia" w:ascii="宋体" w:hAnsi="宋体"/>
                <w:sz w:val="21"/>
                <w:szCs w:val="21"/>
              </w:rPr>
              <w:t>.</w:t>
            </w:r>
            <w:r>
              <w:rPr>
                <w:rFonts w:hint="eastAsia" w:ascii="宋体" w:hAnsi="宋体"/>
                <w:sz w:val="21"/>
                <w:szCs w:val="21"/>
                <w:lang w:val="en-US" w:eastAsia="zh-CN"/>
              </w:rPr>
              <w:t>8</w:t>
            </w:r>
            <w:r>
              <w:rPr>
                <w:rFonts w:hint="eastAsia" w:ascii="宋体" w:hAnsi="宋体"/>
                <w:sz w:val="21"/>
                <w:szCs w:val="21"/>
              </w:rPr>
              <w:t>.1</w:t>
            </w:r>
          </w:p>
          <w:p>
            <w:pPr>
              <w:spacing w:line="24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程序文件汇编（01-</w:t>
            </w:r>
            <w:r>
              <w:rPr>
                <w:rFonts w:hint="eastAsia" w:ascii="宋体" w:hAnsi="宋体" w:eastAsiaTheme="majorEastAsia"/>
                <w:color w:val="auto"/>
                <w:sz w:val="21"/>
                <w:szCs w:val="21"/>
                <w:lang w:val="en-US" w:eastAsia="zh-CN"/>
              </w:rPr>
              <w:t>56</w:t>
            </w:r>
            <w:r>
              <w:rPr>
                <w:rFonts w:hint="eastAsia" w:asciiTheme="majorEastAsia" w:hAnsiTheme="majorEastAsia" w:eastAsiaTheme="majorEastAsia"/>
                <w:sz w:val="21"/>
                <w:szCs w:val="21"/>
              </w:rPr>
              <w:t xml:space="preserve">）  </w:t>
            </w:r>
            <w:r>
              <w:rPr>
                <w:rFonts w:hint="eastAsia" w:ascii="宋体" w:hAnsi="宋体"/>
                <w:sz w:val="21"/>
                <w:szCs w:val="21"/>
                <w:lang w:eastAsia="zh-CN"/>
              </w:rPr>
              <w:t>BA-P-01~56</w:t>
            </w:r>
            <w:r>
              <w:rPr>
                <w:rFonts w:asciiTheme="minorEastAsia" w:hAnsiTheme="minorEastAsia" w:eastAsiaTheme="minorEastAsia"/>
                <w:b/>
                <w:sz w:val="21"/>
                <w:szCs w:val="21"/>
              </w:rPr>
              <w:t xml:space="preserve">     </w:t>
            </w:r>
            <w:r>
              <w:rPr>
                <w:rFonts w:hint="eastAsia" w:asciiTheme="minorEastAsia" w:hAnsiTheme="minorEastAsia" w:eastAsiaTheme="minorEastAsia"/>
                <w:b/>
                <w:sz w:val="21"/>
                <w:szCs w:val="21"/>
                <w:lang w:val="en-US" w:eastAsia="zh-CN"/>
              </w:rPr>
              <w:t xml:space="preserve"> </w:t>
            </w:r>
            <w:r>
              <w:rPr>
                <w:rFonts w:hint="eastAsia" w:ascii="宋体" w:hAnsi="宋体"/>
                <w:sz w:val="21"/>
                <w:szCs w:val="21"/>
                <w:lang w:val="en-US" w:eastAsia="zh-CN"/>
              </w:rPr>
              <w:t xml:space="preserve"> </w:t>
            </w:r>
            <w:r>
              <w:rPr>
                <w:rFonts w:hint="eastAsia" w:ascii="宋体" w:hAnsi="宋体"/>
                <w:sz w:val="21"/>
                <w:szCs w:val="21"/>
              </w:rPr>
              <w:t xml:space="preserve">A/0 </w:t>
            </w:r>
            <w:r>
              <w:rPr>
                <w:rFonts w:asciiTheme="majorEastAsia" w:hAnsiTheme="majorEastAsia" w:eastAsiaTheme="majorEastAsia"/>
                <w:sz w:val="21"/>
                <w:szCs w:val="21"/>
              </w:rPr>
              <w:t xml:space="preserve">    </w:t>
            </w:r>
            <w:r>
              <w:rPr>
                <w:rFonts w:hint="eastAsia" w:ascii="宋体" w:hAnsi="宋体"/>
                <w:sz w:val="21"/>
                <w:szCs w:val="21"/>
              </w:rPr>
              <w:t>20</w:t>
            </w:r>
            <w:r>
              <w:rPr>
                <w:rFonts w:hint="eastAsia" w:ascii="宋体" w:hAnsi="宋体"/>
                <w:sz w:val="21"/>
                <w:szCs w:val="21"/>
                <w:lang w:val="en-US" w:eastAsia="zh-CN"/>
              </w:rPr>
              <w:t>20</w:t>
            </w:r>
            <w:r>
              <w:rPr>
                <w:rFonts w:hint="eastAsia" w:ascii="宋体" w:hAnsi="宋体"/>
                <w:sz w:val="21"/>
                <w:szCs w:val="21"/>
              </w:rPr>
              <w:t>.</w:t>
            </w:r>
            <w:r>
              <w:rPr>
                <w:rFonts w:hint="eastAsia" w:ascii="宋体" w:hAnsi="宋体"/>
                <w:sz w:val="21"/>
                <w:szCs w:val="21"/>
                <w:lang w:val="en-US" w:eastAsia="zh-CN"/>
              </w:rPr>
              <w:t>8</w:t>
            </w:r>
            <w:r>
              <w:rPr>
                <w:rFonts w:hint="eastAsia" w:ascii="宋体" w:hAnsi="宋体"/>
                <w:sz w:val="21"/>
                <w:szCs w:val="21"/>
              </w:rPr>
              <w:t>.1</w:t>
            </w:r>
          </w:p>
          <w:p>
            <w:pPr>
              <w:spacing w:line="360" w:lineRule="auto"/>
              <w:ind w:firstLine="420" w:firstLineChars="200"/>
              <w:rPr>
                <w:color w:val="auto"/>
                <w:sz w:val="21"/>
                <w:szCs w:val="21"/>
              </w:rPr>
            </w:pPr>
            <w:r>
              <w:rPr>
                <w:rFonts w:hint="eastAsia" w:ascii="宋体" w:hAnsi="宋体"/>
                <w:sz w:val="21"/>
                <w:szCs w:val="21"/>
              </w:rPr>
              <w:t>三层次文件包括了</w:t>
            </w:r>
            <w:r>
              <w:rPr>
                <w:rFonts w:hint="eastAsia" w:ascii="宋体" w:hAnsi="宋体"/>
                <w:sz w:val="21"/>
                <w:szCs w:val="21"/>
                <w:lang w:val="en-US" w:eastAsia="zh-CN"/>
              </w:rPr>
              <w:t>各科室的岗位作业文件，如住院医师职责、主治医师职责、首诊负责制度、医生值班交接班制度、医物人员医德规范、危重患者抢救制度、分级护理制度、医嘱查对制度、护士交接班制度等</w:t>
            </w:r>
            <w:r>
              <w:rPr>
                <w:rFonts w:hint="eastAsia" w:ascii="宋体" w:hAnsi="宋体"/>
                <w:color w:val="auto"/>
                <w:sz w:val="21"/>
                <w:szCs w:val="21"/>
              </w:rPr>
              <w:t>。</w:t>
            </w:r>
          </w:p>
          <w:p>
            <w:pPr>
              <w:spacing w:line="360" w:lineRule="auto"/>
              <w:ind w:firstLine="420" w:firstLineChars="200"/>
              <w:rPr>
                <w:rFonts w:ascii="宋体" w:hAnsi="宋体"/>
                <w:color w:val="auto"/>
                <w:sz w:val="21"/>
                <w:szCs w:val="21"/>
              </w:rPr>
            </w:pPr>
            <w:r>
              <w:rPr>
                <w:rFonts w:hint="eastAsia" w:ascii="宋体" w:hAnsi="宋体"/>
                <w:color w:val="auto"/>
                <w:sz w:val="21"/>
                <w:szCs w:val="21"/>
              </w:rPr>
              <w:t>以上体系文件由</w:t>
            </w:r>
            <w:r>
              <w:rPr>
                <w:rFonts w:hint="eastAsia" w:ascii="宋体" w:hAnsi="宋体"/>
                <w:color w:val="auto"/>
                <w:sz w:val="21"/>
                <w:szCs w:val="21"/>
                <w:lang w:val="en-US" w:eastAsia="zh-CN"/>
              </w:rPr>
              <w:t>综合</w:t>
            </w:r>
            <w:r>
              <w:rPr>
                <w:rFonts w:hint="eastAsia" w:ascii="宋体" w:hAnsi="宋体"/>
                <w:color w:val="auto"/>
                <w:sz w:val="21"/>
                <w:szCs w:val="21"/>
                <w:lang w:eastAsia="zh-CN"/>
              </w:rPr>
              <w:t>办公室</w:t>
            </w:r>
            <w:r>
              <w:rPr>
                <w:rFonts w:hint="eastAsia" w:ascii="宋体" w:hAnsi="宋体"/>
                <w:color w:val="auto"/>
                <w:sz w:val="21"/>
                <w:szCs w:val="21"/>
              </w:rPr>
              <w:t>专人/固定计算机/专用文件柜保管，现行有效，保存完好。</w:t>
            </w:r>
          </w:p>
          <w:p>
            <w:pPr>
              <w:spacing w:line="360" w:lineRule="auto"/>
              <w:ind w:firstLine="420" w:firstLineChars="200"/>
              <w:rPr>
                <w:color w:val="auto"/>
                <w:sz w:val="21"/>
                <w:szCs w:val="21"/>
              </w:rPr>
            </w:pPr>
            <w:r>
              <w:rPr>
                <w:rFonts w:hint="eastAsia" w:hAnsi="宋体"/>
                <w:color w:val="auto"/>
                <w:sz w:val="21"/>
                <w:szCs w:val="21"/>
              </w:rPr>
              <w:t>查《外来文件清单》</w:t>
            </w:r>
            <w:r>
              <w:rPr>
                <w:rFonts w:hint="eastAsia" w:hAnsi="宋体"/>
                <w:color w:val="auto"/>
                <w:sz w:val="21"/>
                <w:szCs w:val="21"/>
                <w:lang w:eastAsia="zh-CN"/>
              </w:rPr>
              <w:t>《环境法律法规与其它要求清单》</w:t>
            </w:r>
            <w:r>
              <w:rPr>
                <w:rFonts w:hint="eastAsia" w:hAnsi="宋体"/>
                <w:color w:val="auto"/>
                <w:sz w:val="21"/>
                <w:szCs w:val="21"/>
              </w:rPr>
              <w:t>，登记有与</w:t>
            </w:r>
            <w:r>
              <w:rPr>
                <w:rFonts w:hint="eastAsia" w:ascii="宋体" w:hAnsi="宋体"/>
                <w:color w:val="auto"/>
                <w:sz w:val="21"/>
                <w:szCs w:val="21"/>
              </w:rPr>
              <w:t>Q</w:t>
            </w:r>
            <w:r>
              <w:rPr>
                <w:rFonts w:hint="eastAsia" w:ascii="宋体" w:hAnsi="宋体"/>
                <w:color w:val="auto"/>
                <w:sz w:val="21"/>
                <w:szCs w:val="21"/>
                <w:lang w:val="en-US" w:eastAsia="zh-CN"/>
              </w:rPr>
              <w:t>E</w:t>
            </w:r>
            <w:r>
              <w:rPr>
                <w:rFonts w:hint="eastAsia" w:ascii="宋体" w:hAnsi="宋体"/>
                <w:color w:val="auto"/>
                <w:sz w:val="21"/>
                <w:szCs w:val="21"/>
              </w:rPr>
              <w:t>:</w:t>
            </w:r>
            <w:r>
              <w:rPr>
                <w:rFonts w:hint="eastAsia" w:ascii="宋体" w:hAnsi="宋体"/>
                <w:color w:val="auto"/>
                <w:sz w:val="21"/>
                <w:szCs w:val="21"/>
                <w:lang w:eastAsia="zh-CN"/>
              </w:rPr>
              <w:t>内科、外科、医疗美容科、肿瘤科、麻醉科、医学检验科、医学影像科的医疗服务（限许可范围内）所涉及场所的相关环境管理活动</w:t>
            </w:r>
            <w:r>
              <w:rPr>
                <w:rFonts w:hint="eastAsia" w:hAnsi="宋体"/>
                <w:color w:val="auto"/>
                <w:sz w:val="21"/>
                <w:szCs w:val="21"/>
              </w:rPr>
              <w:t>有关的大气污染物综合排放标准、污水综合排放标准、声环境质量标准、危险废物贮存污染控制标准、海南省污水排放限值、海南省大气污染排放限值、海南省建设项目环境保护管理条例、海南省机动车排气污染防治条例、琼海经济特区机动车排气污染防治规定</w:t>
            </w:r>
            <w:r>
              <w:rPr>
                <w:rFonts w:hint="eastAsia" w:hAnsi="宋体"/>
                <w:color w:val="auto"/>
                <w:sz w:val="21"/>
                <w:szCs w:val="21"/>
                <w:lang w:eastAsia="zh-CN"/>
              </w:rPr>
              <w:t>、</w:t>
            </w:r>
            <w:r>
              <w:rPr>
                <w:rFonts w:hint="eastAsia" w:hAnsi="宋体"/>
                <w:color w:val="auto"/>
                <w:sz w:val="21"/>
                <w:szCs w:val="21"/>
              </w:rPr>
              <w:t>琼海市固体废物污染环境防治规定、琼海经济特区环境噪声污染防治条例、海南省固体废物污染环境防治条例、</w:t>
            </w:r>
            <w:r>
              <w:rPr>
                <w:rFonts w:hint="eastAsia" w:ascii="宋体" w:hAnsi="宋体"/>
                <w:color w:val="auto"/>
                <w:sz w:val="21"/>
                <w:szCs w:val="21"/>
              </w:rPr>
              <w:t>GB 15982-2012医院消毒卫生标准、WS 694-2020新冠肺炎疫情期间医学观察和救治临时特殊场所卫生防护技术要求、WS/T 592-2018医院感染预防与控制评价规范、WS/T 698-2020新冠肺炎疫情期间重点场所和单位卫生防护指南、2003国务院令380号《医疗废物管理条例》</w:t>
            </w:r>
            <w:r>
              <w:rPr>
                <w:rFonts w:hint="eastAsia" w:ascii="宋体"/>
                <w:color w:val="auto"/>
                <w:sz w:val="21"/>
                <w:szCs w:val="21"/>
              </w:rPr>
              <w:t>等有关法律法规及国家/行业标准</w:t>
            </w:r>
            <w:r>
              <w:rPr>
                <w:rFonts w:hint="eastAsia" w:hAnsi="宋体"/>
                <w:color w:val="auto"/>
                <w:sz w:val="21"/>
                <w:szCs w:val="21"/>
              </w:rPr>
              <w:t>，编制手续齐全。</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ascii="宋体" w:hAnsi="宋体"/>
                <w:sz w:val="21"/>
                <w:szCs w:val="21"/>
              </w:rPr>
            </w:pPr>
            <w:r>
              <w:rPr>
                <w:rFonts w:hint="eastAsia" w:ascii="宋体" w:hAnsi="宋体"/>
                <w:sz w:val="21"/>
                <w:szCs w:val="21"/>
              </w:rPr>
              <w:t>查阅有外来文件发放清单，登记了发放部门、接收部门、接收人及日期等信息，部门主管人员通过网上查询，确保相关文件现行有效。</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ascii="宋体" w:hAnsi="宋体"/>
                <w:sz w:val="21"/>
                <w:szCs w:val="21"/>
              </w:rPr>
            </w:pPr>
            <w:r>
              <w:rPr>
                <w:rFonts w:hint="eastAsia" w:ascii="宋体" w:hAnsi="宋体"/>
                <w:sz w:val="21"/>
                <w:szCs w:val="21"/>
              </w:rPr>
              <w:t>查《体系记录一览表》：</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ascii="宋体" w:hAnsi="宋体"/>
                <w:sz w:val="21"/>
                <w:szCs w:val="21"/>
              </w:rPr>
            </w:pPr>
            <w:r>
              <w:rPr>
                <w:rFonts w:hint="eastAsia" w:ascii="宋体" w:hAnsi="宋体"/>
                <w:sz w:val="21"/>
                <w:szCs w:val="21"/>
              </w:rPr>
              <w:t>企业共编制记录共计</w:t>
            </w:r>
            <w:r>
              <w:rPr>
                <w:rFonts w:hint="eastAsia" w:ascii="宋体" w:hAnsi="宋体"/>
                <w:sz w:val="21"/>
                <w:szCs w:val="21"/>
                <w:lang w:val="en-US" w:eastAsia="zh-CN"/>
              </w:rPr>
              <w:t>382</w:t>
            </w:r>
            <w:r>
              <w:rPr>
                <w:rFonts w:hint="eastAsia" w:ascii="宋体" w:hAnsi="宋体"/>
                <w:sz w:val="21"/>
                <w:szCs w:val="21"/>
              </w:rPr>
              <w:t>个，记录覆盖标准要求编制所涉及条款的记录。</w:t>
            </w: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hint="eastAsia" w:hAnsi="宋体"/>
                <w:sz w:val="21"/>
                <w:szCs w:val="21"/>
              </w:rPr>
            </w:pPr>
            <w:r>
              <w:rPr>
                <w:rFonts w:hint="eastAsia" w:hAnsi="宋体" w:eastAsia="宋体"/>
                <w:sz w:val="21"/>
                <w:szCs w:val="21"/>
                <w:lang w:eastAsia="zh-CN"/>
              </w:rPr>
              <w:drawing>
                <wp:anchor distT="0" distB="0" distL="114300" distR="114300" simplePos="0" relativeHeight="251659264" behindDoc="0" locked="0" layoutInCell="1" allowOverlap="1">
                  <wp:simplePos x="0" y="0"/>
                  <wp:positionH relativeFrom="column">
                    <wp:posOffset>730250</wp:posOffset>
                  </wp:positionH>
                  <wp:positionV relativeFrom="paragraph">
                    <wp:posOffset>621665</wp:posOffset>
                  </wp:positionV>
                  <wp:extent cx="4469130" cy="2524760"/>
                  <wp:effectExtent l="0" t="0" r="1270" b="2540"/>
                  <wp:wrapNone/>
                  <wp:docPr id="3" name="图片 3" descr="a031bc43e7eb88980e2b51a06a5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31bc43e7eb88980e2b51a06a57137"/>
                          <pic:cNvPicPr>
                            <a:picLocks noChangeAspect="1"/>
                          </pic:cNvPicPr>
                        </pic:nvPicPr>
                        <pic:blipFill>
                          <a:blip r:embed="rId12"/>
                          <a:srcRect t="13248" b="11421"/>
                          <a:stretch>
                            <a:fillRect/>
                          </a:stretch>
                        </pic:blipFill>
                        <pic:spPr>
                          <a:xfrm>
                            <a:off x="0" y="0"/>
                            <a:ext cx="4469130" cy="2524760"/>
                          </a:xfrm>
                          <a:prstGeom prst="rect">
                            <a:avLst/>
                          </a:prstGeom>
                        </pic:spPr>
                      </pic:pic>
                    </a:graphicData>
                  </a:graphic>
                </wp:anchor>
              </w:drawing>
            </w:r>
            <w:r>
              <w:rPr>
                <w:rFonts w:hint="eastAsia" w:hAnsi="宋体"/>
                <w:sz w:val="21"/>
                <w:szCs w:val="21"/>
              </w:rPr>
              <w:t>抽查</w:t>
            </w:r>
            <w:r>
              <w:rPr>
                <w:rFonts w:hint="eastAsia" w:hAnsi="宋体"/>
                <w:sz w:val="21"/>
                <w:szCs w:val="21"/>
                <w:lang w:val="en-US" w:eastAsia="zh-CN"/>
              </w:rPr>
              <w:t>人力资源部</w:t>
            </w:r>
            <w:r>
              <w:rPr>
                <w:rFonts w:hint="eastAsia" w:hAnsi="宋体"/>
                <w:sz w:val="21"/>
                <w:szCs w:val="21"/>
              </w:rPr>
              <w:t>培训记录，记录名称、编号齐全，填写完整、清晰、齐全，无破损，按日期顺序归档，检索方便，记录由</w:t>
            </w:r>
            <w:r>
              <w:rPr>
                <w:rFonts w:hint="eastAsia" w:hAnsi="宋体"/>
                <w:sz w:val="21"/>
                <w:szCs w:val="21"/>
                <w:lang w:val="en-US" w:eastAsia="zh-CN"/>
              </w:rPr>
              <w:t>人事专员</w:t>
            </w:r>
            <w:r>
              <w:rPr>
                <w:rFonts w:hint="eastAsia" w:hAnsi="宋体"/>
                <w:sz w:val="21"/>
                <w:szCs w:val="21"/>
              </w:rPr>
              <w:t>专柜保存。</w:t>
            </w:r>
          </w:p>
          <w:p>
            <w:pPr>
              <w:pStyle w:val="5"/>
              <w:spacing w:line="360" w:lineRule="auto"/>
              <w:ind w:firstLine="420" w:firstLineChars="200"/>
              <w:rPr>
                <w:rFonts w:hint="eastAsia" w:hAnsi="宋体" w:eastAsia="宋体"/>
                <w:sz w:val="21"/>
                <w:szCs w:val="21"/>
                <w:lang w:eastAsia="zh-CN"/>
              </w:rPr>
            </w:pPr>
          </w:p>
          <w:p>
            <w:pPr>
              <w:pStyle w:val="5"/>
              <w:spacing w:line="360" w:lineRule="auto"/>
              <w:ind w:firstLine="420" w:firstLineChars="200"/>
              <w:rPr>
                <w:rFonts w:hint="eastAsia" w:hAnsi="宋体"/>
                <w:sz w:val="21"/>
                <w:szCs w:val="21"/>
              </w:rPr>
            </w:pPr>
          </w:p>
          <w:p>
            <w:pPr>
              <w:pStyle w:val="5"/>
              <w:spacing w:line="360" w:lineRule="auto"/>
              <w:ind w:firstLine="420" w:firstLineChars="200"/>
              <w:rPr>
                <w:rFonts w:hint="eastAsia" w:hAnsi="宋体"/>
                <w:sz w:val="21"/>
                <w:szCs w:val="21"/>
              </w:rPr>
            </w:pPr>
          </w:p>
          <w:p>
            <w:pPr>
              <w:pStyle w:val="5"/>
              <w:spacing w:line="360" w:lineRule="auto"/>
              <w:ind w:firstLine="420" w:firstLineChars="200"/>
              <w:rPr>
                <w:rFonts w:hint="eastAsia" w:hAnsi="宋体"/>
                <w:sz w:val="21"/>
                <w:szCs w:val="21"/>
              </w:rPr>
            </w:pPr>
          </w:p>
          <w:p>
            <w:pPr>
              <w:pStyle w:val="5"/>
              <w:spacing w:line="360" w:lineRule="auto"/>
              <w:ind w:firstLine="420" w:firstLineChars="200"/>
              <w:rPr>
                <w:rFonts w:hint="eastAsia" w:hAnsi="宋体"/>
                <w:sz w:val="21"/>
                <w:szCs w:val="21"/>
              </w:rPr>
            </w:pPr>
          </w:p>
          <w:p>
            <w:pPr>
              <w:pStyle w:val="5"/>
              <w:spacing w:line="360" w:lineRule="auto"/>
              <w:ind w:firstLine="420" w:firstLineChars="200"/>
              <w:rPr>
                <w:rFonts w:hint="eastAsia" w:hAnsi="宋体"/>
                <w:sz w:val="21"/>
                <w:szCs w:val="21"/>
              </w:rPr>
            </w:pPr>
          </w:p>
          <w:p>
            <w:pPr>
              <w:spacing w:line="360" w:lineRule="auto"/>
              <w:ind w:firstLine="420" w:firstLineChars="200"/>
              <w:rPr>
                <w:rFonts w:ascii="宋体" w:hAnsi="宋体"/>
                <w:sz w:val="21"/>
                <w:szCs w:val="21"/>
              </w:rPr>
            </w:pPr>
            <w:r>
              <w:rPr>
                <w:rFonts w:hint="eastAsia" w:ascii="宋体" w:hAnsi="宋体"/>
                <w:sz w:val="21"/>
                <w:szCs w:val="21"/>
              </w:rPr>
              <w:t>查《文件发放及回收登记表》，20</w:t>
            </w:r>
            <w:r>
              <w:rPr>
                <w:rFonts w:hint="eastAsia" w:ascii="宋体" w:hAnsi="宋体"/>
                <w:sz w:val="21"/>
                <w:szCs w:val="21"/>
                <w:lang w:val="en-US" w:eastAsia="zh-CN"/>
              </w:rPr>
              <w:t>20</w:t>
            </w:r>
            <w:r>
              <w:rPr>
                <w:rFonts w:ascii="宋体" w:hAnsi="宋体"/>
                <w:sz w:val="21"/>
                <w:szCs w:val="21"/>
              </w:rPr>
              <w:t>.</w:t>
            </w:r>
            <w:r>
              <w:rPr>
                <w:rFonts w:hint="eastAsia" w:ascii="宋体" w:hAnsi="宋体"/>
                <w:sz w:val="21"/>
                <w:szCs w:val="21"/>
                <w:lang w:val="en-US" w:eastAsia="zh-CN"/>
              </w:rPr>
              <w:t>8</w:t>
            </w:r>
            <w:r>
              <w:rPr>
                <w:rFonts w:ascii="宋体" w:hAnsi="宋体"/>
                <w:sz w:val="21"/>
                <w:szCs w:val="21"/>
              </w:rPr>
              <w:t>.1</w:t>
            </w:r>
            <w:r>
              <w:rPr>
                <w:rFonts w:hint="eastAsia" w:ascii="宋体" w:hAnsi="宋体"/>
                <w:sz w:val="21"/>
                <w:szCs w:val="21"/>
              </w:rPr>
              <w:t>向</w:t>
            </w:r>
            <w:r>
              <w:rPr>
                <w:rFonts w:hint="eastAsia" w:ascii="宋体" w:hAnsi="宋体"/>
                <w:sz w:val="21"/>
                <w:szCs w:val="21"/>
                <w:lang w:val="en-US" w:eastAsia="zh-CN"/>
              </w:rPr>
              <w:t>医院负责人</w:t>
            </w:r>
            <w:r>
              <w:rPr>
                <w:rFonts w:hint="eastAsia" w:ascii="宋体" w:hAnsi="宋体"/>
                <w:sz w:val="21"/>
                <w:szCs w:val="21"/>
              </w:rPr>
              <w:t>及各部门发放</w:t>
            </w:r>
            <w:r>
              <w:rPr>
                <w:rFonts w:hint="eastAsia" w:ascii="宋体" w:hAnsi="宋体"/>
                <w:sz w:val="21"/>
                <w:szCs w:val="21"/>
                <w:lang w:val="en-US" w:eastAsia="zh-CN"/>
              </w:rPr>
              <w:t>01</w:t>
            </w:r>
            <w:r>
              <w:rPr>
                <w:rFonts w:hint="eastAsia" w:ascii="宋体" w:hAnsi="宋体"/>
                <w:sz w:val="21"/>
                <w:szCs w:val="21"/>
              </w:rPr>
              <w:t>版体系文件，</w:t>
            </w:r>
            <w:r>
              <w:rPr>
                <w:rFonts w:hint="eastAsia" w:ascii="宋体" w:hAnsi="宋体"/>
                <w:sz w:val="21"/>
                <w:szCs w:val="21"/>
                <w:lang w:val="en-US" w:eastAsia="zh-CN"/>
              </w:rPr>
              <w:t>医院负责人</w:t>
            </w:r>
            <w:r>
              <w:rPr>
                <w:rFonts w:hint="eastAsia" w:ascii="宋体" w:hAnsi="宋体"/>
                <w:sz w:val="21"/>
                <w:szCs w:val="21"/>
              </w:rPr>
              <w:t>、各部门负责人签字手续齐全。</w:t>
            </w:r>
          </w:p>
          <w:p>
            <w:pPr>
              <w:spacing w:line="360" w:lineRule="auto"/>
              <w:ind w:firstLine="420" w:firstLineChars="200"/>
              <w:rPr>
                <w:rFonts w:hint="eastAsia" w:ascii="宋体" w:hAnsi="宋体"/>
                <w:sz w:val="21"/>
                <w:szCs w:val="21"/>
              </w:rPr>
            </w:pPr>
            <w:r>
              <w:rPr>
                <w:rFonts w:hint="eastAsia" w:ascii="宋体" w:hAnsi="宋体"/>
                <w:sz w:val="21"/>
                <w:szCs w:val="21"/>
              </w:rPr>
              <w:t>查文件创建和更新的控制情况，公司20</w:t>
            </w:r>
            <w:r>
              <w:rPr>
                <w:rFonts w:hint="eastAsia" w:ascii="宋体" w:hAnsi="宋体"/>
                <w:sz w:val="21"/>
                <w:szCs w:val="21"/>
                <w:lang w:val="en-US" w:eastAsia="zh-CN"/>
              </w:rPr>
              <w:t>20</w:t>
            </w:r>
            <w:r>
              <w:rPr>
                <w:rFonts w:ascii="宋体" w:hAnsi="宋体"/>
                <w:sz w:val="21"/>
                <w:szCs w:val="21"/>
              </w:rPr>
              <w:t>.</w:t>
            </w:r>
            <w:r>
              <w:rPr>
                <w:rFonts w:hint="eastAsia" w:ascii="宋体" w:hAnsi="宋体"/>
                <w:sz w:val="21"/>
                <w:szCs w:val="21"/>
                <w:lang w:val="en-US" w:eastAsia="zh-CN"/>
              </w:rPr>
              <w:t>8</w:t>
            </w:r>
            <w:r>
              <w:rPr>
                <w:rFonts w:ascii="宋体" w:hAnsi="宋体"/>
                <w:sz w:val="21"/>
                <w:szCs w:val="21"/>
              </w:rPr>
              <w:t>.</w:t>
            </w:r>
            <w:r>
              <w:rPr>
                <w:rFonts w:hint="eastAsia" w:ascii="宋体" w:hAnsi="宋体"/>
                <w:sz w:val="21"/>
                <w:szCs w:val="21"/>
              </w:rPr>
              <w:t>1发布的质量手册、程序文件汇编、管理制度和作业文件，编制、审批手续齐全。</w:t>
            </w:r>
          </w:p>
          <w:p>
            <w:pPr>
              <w:pStyle w:val="2"/>
              <w:ind w:firstLine="420"/>
              <w:rPr>
                <w:rFonts w:hint="eastAsia" w:ascii="宋体" w:hAnsi="宋体"/>
                <w:sz w:val="21"/>
                <w:szCs w:val="21"/>
                <w:lang w:val="en-US" w:eastAsia="zh-CN"/>
              </w:rPr>
            </w:pPr>
            <w:r>
              <w:rPr>
                <w:rFonts w:hint="eastAsia" w:ascii="宋体" w:hAnsi="宋体"/>
                <w:sz w:val="21"/>
                <w:szCs w:val="21"/>
                <w:lang w:val="en-US" w:eastAsia="zh-CN"/>
              </w:rPr>
              <w:t>现场查看相关的管理制度的管理情况，其中有部分制度上墙公示：</w:t>
            </w:r>
          </w:p>
          <w:p>
            <w:pPr>
              <w:pStyle w:val="2"/>
              <w:ind w:firstLine="420"/>
              <w:rPr>
                <w:rFonts w:hint="default" w:ascii="宋体" w:hAnsi="宋体"/>
                <w:sz w:val="21"/>
                <w:szCs w:val="21"/>
                <w:lang w:val="en-US" w:eastAsia="zh-CN"/>
              </w:rPr>
            </w:pPr>
            <w:r>
              <w:rPr>
                <w:rFonts w:hint="default" w:ascii="宋体" w:hAnsi="宋体"/>
                <w:sz w:val="21"/>
                <w:szCs w:val="21"/>
                <w:lang w:val="en-US" w:eastAsia="zh-CN"/>
              </w:rPr>
              <w:drawing>
                <wp:anchor distT="0" distB="0" distL="114300" distR="114300" simplePos="0" relativeHeight="251660288" behindDoc="0" locked="0" layoutInCell="1" allowOverlap="1">
                  <wp:simplePos x="0" y="0"/>
                  <wp:positionH relativeFrom="column">
                    <wp:posOffset>82550</wp:posOffset>
                  </wp:positionH>
                  <wp:positionV relativeFrom="paragraph">
                    <wp:posOffset>45720</wp:posOffset>
                  </wp:positionV>
                  <wp:extent cx="2967355" cy="2003425"/>
                  <wp:effectExtent l="0" t="0" r="4445" b="3175"/>
                  <wp:wrapNone/>
                  <wp:docPr id="4" name="图片 4" descr="4a47715c9b1399df1361acb5fafb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a47715c9b1399df1361acb5fafbf7d"/>
                          <pic:cNvPicPr>
                            <a:picLocks noChangeAspect="1"/>
                          </pic:cNvPicPr>
                        </pic:nvPicPr>
                        <pic:blipFill>
                          <a:blip r:embed="rId13"/>
                          <a:stretch>
                            <a:fillRect/>
                          </a:stretch>
                        </pic:blipFill>
                        <pic:spPr>
                          <a:xfrm>
                            <a:off x="0" y="0"/>
                            <a:ext cx="2967355" cy="2003425"/>
                          </a:xfrm>
                          <a:prstGeom prst="rect">
                            <a:avLst/>
                          </a:prstGeom>
                        </pic:spPr>
                      </pic:pic>
                    </a:graphicData>
                  </a:graphic>
                </wp:anchor>
              </w:drawing>
            </w:r>
            <w:r>
              <w:rPr>
                <w:rFonts w:hint="default" w:ascii="宋体" w:hAnsi="宋体"/>
                <w:sz w:val="21"/>
                <w:szCs w:val="21"/>
                <w:lang w:val="en-US" w:eastAsia="zh-CN"/>
              </w:rPr>
              <w:drawing>
                <wp:anchor distT="0" distB="0" distL="114300" distR="114300" simplePos="0" relativeHeight="251661312" behindDoc="0" locked="0" layoutInCell="1" allowOverlap="1">
                  <wp:simplePos x="0" y="0"/>
                  <wp:positionH relativeFrom="column">
                    <wp:posOffset>3195955</wp:posOffset>
                  </wp:positionH>
                  <wp:positionV relativeFrom="paragraph">
                    <wp:posOffset>53340</wp:posOffset>
                  </wp:positionV>
                  <wp:extent cx="2961005" cy="1998980"/>
                  <wp:effectExtent l="0" t="0" r="10795" b="7620"/>
                  <wp:wrapNone/>
                  <wp:docPr id="5" name="图片 5" descr="c6efb839eafa753e998ea5cf69b3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efb839eafa753e998ea5cf69b3fec"/>
                          <pic:cNvPicPr>
                            <a:picLocks noChangeAspect="1"/>
                          </pic:cNvPicPr>
                        </pic:nvPicPr>
                        <pic:blipFill>
                          <a:blip r:embed="rId14"/>
                          <a:stretch>
                            <a:fillRect/>
                          </a:stretch>
                        </pic:blipFill>
                        <pic:spPr>
                          <a:xfrm>
                            <a:off x="0" y="0"/>
                            <a:ext cx="2961005" cy="1998980"/>
                          </a:xfrm>
                          <a:prstGeom prst="rect">
                            <a:avLst/>
                          </a:prstGeom>
                        </pic:spPr>
                      </pic:pic>
                    </a:graphicData>
                  </a:graphic>
                </wp:anchor>
              </w:drawing>
            </w:r>
          </w:p>
          <w:p>
            <w:pPr>
              <w:pStyle w:val="2"/>
              <w:ind w:firstLine="420"/>
              <w:rPr>
                <w:rFonts w:hint="default" w:ascii="宋体" w:hAnsi="宋体"/>
                <w:sz w:val="21"/>
                <w:szCs w:val="21"/>
                <w:lang w:val="en-US" w:eastAsia="zh-CN"/>
              </w:rPr>
            </w:pPr>
          </w:p>
          <w:p>
            <w:pPr>
              <w:pStyle w:val="2"/>
              <w:ind w:firstLine="420"/>
              <w:rPr>
                <w:rFonts w:hint="default" w:ascii="宋体" w:hAnsi="宋体"/>
                <w:sz w:val="21"/>
                <w:szCs w:val="21"/>
                <w:lang w:val="en-US" w:eastAsia="zh-CN"/>
              </w:rPr>
            </w:pPr>
          </w:p>
          <w:p>
            <w:pPr>
              <w:pStyle w:val="2"/>
              <w:ind w:firstLine="420"/>
              <w:rPr>
                <w:rFonts w:hint="default" w:ascii="宋体" w:hAnsi="宋体"/>
                <w:sz w:val="21"/>
                <w:szCs w:val="21"/>
                <w:lang w:val="en-US" w:eastAsia="zh-CN"/>
              </w:rPr>
            </w:pPr>
          </w:p>
          <w:p>
            <w:pPr>
              <w:pStyle w:val="2"/>
              <w:ind w:firstLine="420"/>
              <w:rPr>
                <w:rFonts w:hint="default" w:ascii="宋体" w:hAnsi="宋体"/>
                <w:sz w:val="21"/>
                <w:szCs w:val="21"/>
                <w:lang w:val="en-US" w:eastAsia="zh-CN"/>
              </w:rPr>
            </w:pPr>
          </w:p>
          <w:p>
            <w:pPr>
              <w:pStyle w:val="2"/>
              <w:ind w:firstLine="420"/>
              <w:rPr>
                <w:rFonts w:hint="default" w:ascii="宋体" w:hAnsi="宋体"/>
                <w:sz w:val="21"/>
                <w:szCs w:val="21"/>
                <w:lang w:val="en-US" w:eastAsia="zh-CN"/>
              </w:rPr>
            </w:pPr>
          </w:p>
          <w:p>
            <w:pPr>
              <w:spacing w:line="360" w:lineRule="auto"/>
              <w:ind w:firstLine="420" w:firstLineChars="200"/>
              <w:rPr>
                <w:rFonts w:hint="default" w:ascii="宋体" w:hAnsi="宋体" w:cs="宋体"/>
                <w:b w:val="0"/>
                <w:bCs w:val="0"/>
                <w:color w:val="auto"/>
                <w:sz w:val="21"/>
                <w:szCs w:val="21"/>
                <w:lang w:val="en-US" w:eastAsia="zh-CN"/>
              </w:rPr>
            </w:pPr>
            <w:r>
              <w:rPr>
                <w:rFonts w:hint="eastAsia" w:ascii="宋体" w:hAnsi="宋体"/>
                <w:sz w:val="21"/>
                <w:szCs w:val="21"/>
              </w:rPr>
              <w:t>公司</w:t>
            </w:r>
            <w:r>
              <w:rPr>
                <w:rFonts w:hint="eastAsia" w:ascii="宋体" w:hAnsi="宋体"/>
                <w:sz w:val="21"/>
                <w:szCs w:val="21"/>
                <w:lang w:val="en-US" w:eastAsia="zh-CN"/>
              </w:rPr>
              <w:t>01</w:t>
            </w:r>
            <w:r>
              <w:rPr>
                <w:rFonts w:hint="eastAsia" w:ascii="宋体" w:hAnsi="宋体"/>
                <w:sz w:val="21"/>
                <w:szCs w:val="21"/>
              </w:rPr>
              <w:t>版质量体系文件发布以来没有更改情况。</w:t>
            </w:r>
          </w:p>
        </w:tc>
        <w:tc>
          <w:tcPr>
            <w:tcW w:w="1585" w:type="dxa"/>
            <w:vAlign w:val="top"/>
          </w:tcPr>
          <w:p>
            <w:pPr>
              <w:rPr>
                <w:rFonts w:hint="eastAsia" w:ascii="宋体" w:hAnsi="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2160" w:type="dxa"/>
            <w:vAlign w:val="top"/>
          </w:tcPr>
          <w:p>
            <w:pPr>
              <w:spacing w:line="360" w:lineRule="auto"/>
              <w:rPr>
                <w:rFonts w:hint="eastAsia" w:ascii="Times New Roman" w:hAnsi="Times New Roman" w:eastAsia="宋体" w:cs="Times New Roman"/>
                <w:kern w:val="2"/>
                <w:sz w:val="21"/>
                <w:lang w:val="en-US" w:eastAsia="zh-CN" w:bidi="ar-SA"/>
              </w:rPr>
            </w:pPr>
            <w:r>
              <w:rPr>
                <w:rFonts w:hint="default"/>
                <w:lang w:val="en-US" w:eastAsia="zh-CN"/>
              </w:rPr>
              <w:t>运行控制</w:t>
            </w:r>
          </w:p>
        </w:tc>
        <w:tc>
          <w:tcPr>
            <w:tcW w:w="960" w:type="dxa"/>
            <w:vAlign w:val="top"/>
          </w:tcPr>
          <w:p>
            <w:pPr>
              <w:spacing w:line="360" w:lineRule="auto"/>
              <w:rPr>
                <w:rFonts w:hint="eastAsia" w:ascii="Times New Roman" w:hAnsi="Times New Roman" w:eastAsia="宋体" w:cs="Times New Roman"/>
                <w:kern w:val="2"/>
                <w:sz w:val="21"/>
                <w:lang w:val="en-US" w:eastAsia="zh-CN" w:bidi="ar-SA"/>
              </w:rPr>
            </w:pPr>
            <w:r>
              <w:rPr>
                <w:rFonts w:hint="eastAsia"/>
                <w:lang w:val="en-US" w:eastAsia="zh-CN"/>
              </w:rPr>
              <w:t>E8.1</w:t>
            </w:r>
          </w:p>
        </w:tc>
        <w:tc>
          <w:tcPr>
            <w:tcW w:w="10004" w:type="dxa"/>
            <w:vAlign w:val="center"/>
          </w:tcPr>
          <w:p>
            <w:pPr>
              <w:spacing w:line="360" w:lineRule="auto"/>
              <w:rPr>
                <w:rFonts w:hint="eastAsia"/>
                <w:lang w:val="en-US" w:eastAsia="zh-CN"/>
              </w:rPr>
            </w:pPr>
            <w:r>
              <w:rPr>
                <w:rFonts w:hint="eastAsia"/>
                <w:lang w:val="en-US" w:eastAsia="zh-CN"/>
              </w:rPr>
              <w:t>管理者代表指导综合办公室组织相关部门对医疗服务实现、环境运行控制所需的过程及子过程的顺序和相互关系进行策划，并对服务提供的过程、重要环境因素有关的运行和活动进行控制，确保管理方针、目标、指标的实现。策划确定下列内容：a）应达到的质量、环境目标、指标要求；b）针对服务确定过程及重要环境因素，并建立销售服务所需要的文件，以及所需提供的资源和设施；c）依据服务实现过程和活动的特点，确定验证、确认、监视、测量和检验需求的活动以及接收准则；d）保存服务实现过程和活动满足规定要求的记录；</w:t>
            </w:r>
          </w:p>
          <w:p>
            <w:pPr>
              <w:spacing w:line="360" w:lineRule="auto"/>
              <w:rPr>
                <w:rFonts w:hint="eastAsia"/>
                <w:lang w:val="en-US" w:eastAsia="zh-CN"/>
              </w:rPr>
            </w:pPr>
            <w:r>
              <w:rPr>
                <w:rFonts w:hint="eastAsia"/>
                <w:lang w:val="en-US" w:eastAsia="zh-CN"/>
              </w:rPr>
              <w:t>识别确定已纳入计划或新的开发、新的或修改的活动、产品和服务过程的环境因素：确定这些改变带来的具有、或可能具有重大影响的因素（重要环境因素）并建立控制的记录；确定运行控制的程序或建立新的目标和指标；对涉及到的间接重要环境因素通报给供方及合同方；建立应急准备与相应控制机制。</w:t>
            </w:r>
          </w:p>
          <w:p>
            <w:pPr>
              <w:spacing w:line="360" w:lineRule="auto"/>
              <w:rPr>
                <w:rFonts w:hint="default"/>
                <w:lang w:val="en-US" w:eastAsia="zh-CN"/>
              </w:rPr>
            </w:pPr>
            <w:r>
              <w:rPr>
                <w:rFonts w:hint="eastAsia"/>
                <w:lang w:val="en-US" w:eastAsia="zh-CN"/>
              </w:rPr>
              <w:t>公司的重要环境因素为重要环境因素：1医疗服务过程中废水的排放；2生活和医疗服务提供过程固体废弃物的排放；3日常工作、生活过程中废气的排放；4危险化学品的排放；5潜在火灾。</w:t>
            </w:r>
          </w:p>
          <w:p>
            <w:pPr>
              <w:spacing w:line="360" w:lineRule="auto"/>
              <w:rPr>
                <w:rFonts w:hint="eastAsia"/>
                <w:lang w:val="en-US" w:eastAsia="zh-CN"/>
              </w:rPr>
            </w:pPr>
            <w:r>
              <w:drawing>
                <wp:anchor distT="0" distB="0" distL="114300" distR="114300" simplePos="0" relativeHeight="251669504" behindDoc="0" locked="0" layoutInCell="1" allowOverlap="1">
                  <wp:simplePos x="0" y="0"/>
                  <wp:positionH relativeFrom="column">
                    <wp:posOffset>2089150</wp:posOffset>
                  </wp:positionH>
                  <wp:positionV relativeFrom="paragraph">
                    <wp:posOffset>402590</wp:posOffset>
                  </wp:positionV>
                  <wp:extent cx="3829050" cy="2726690"/>
                  <wp:effectExtent l="0" t="0" r="6350" b="381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3829050" cy="272669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38100</wp:posOffset>
                  </wp:positionH>
                  <wp:positionV relativeFrom="paragraph">
                    <wp:posOffset>667385</wp:posOffset>
                  </wp:positionV>
                  <wp:extent cx="1858010" cy="2470150"/>
                  <wp:effectExtent l="0" t="0" r="8890" b="635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1858010" cy="2470150"/>
                          </a:xfrm>
                          <a:prstGeom prst="rect">
                            <a:avLst/>
                          </a:prstGeom>
                          <a:noFill/>
                          <a:ln>
                            <a:noFill/>
                          </a:ln>
                        </pic:spPr>
                      </pic:pic>
                    </a:graphicData>
                  </a:graphic>
                </wp:anchor>
              </w:drawing>
            </w:r>
            <w:r>
              <w:rPr>
                <w:rFonts w:hint="eastAsia"/>
                <w:lang w:val="en-US" w:eastAsia="zh-CN"/>
              </w:rPr>
              <w:t xml:space="preserve">1、抽查-医疗服务过程中废水的排放处理记录：《污水PH检测记录表》、《污水站运行记录表》《污水站配药记录表》 </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r>
              <w:rPr>
                <w:rFonts w:hint="eastAsia"/>
                <w:lang w:val="en-US" w:eastAsia="zh-CN"/>
              </w:rPr>
              <w:t>废水经过污水站的处理，达标后排放到市政官网。污水站：制定了《WI-HQ-0126污水处理工作规范》、《WI-HQ-0125污水处理站危险品管理制度》、《WI-HQ-0124-污水处理管理制度》、《WI-HQ-0122-污水处理站操作流程》、《WI-HQ-0121污水处理工艺流程》；</w:t>
            </w:r>
          </w:p>
          <w:p>
            <w:pPr>
              <w:spacing w:line="360" w:lineRule="auto"/>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3276600</wp:posOffset>
                  </wp:positionH>
                  <wp:positionV relativeFrom="paragraph">
                    <wp:posOffset>1494790</wp:posOffset>
                  </wp:positionV>
                  <wp:extent cx="2686685" cy="2550160"/>
                  <wp:effectExtent l="0" t="0" r="5715" b="254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2686685" cy="2550160"/>
                          </a:xfrm>
                          <a:prstGeom prst="rect">
                            <a:avLst/>
                          </a:prstGeom>
                          <a:noFill/>
                          <a:ln>
                            <a:noFill/>
                          </a:ln>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101600</wp:posOffset>
                  </wp:positionH>
                  <wp:positionV relativeFrom="paragraph">
                    <wp:posOffset>1489075</wp:posOffset>
                  </wp:positionV>
                  <wp:extent cx="2964180" cy="2585720"/>
                  <wp:effectExtent l="0" t="0" r="7620" b="508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2964180" cy="2585720"/>
                          </a:xfrm>
                          <a:prstGeom prst="rect">
                            <a:avLst/>
                          </a:prstGeom>
                          <a:noFill/>
                          <a:ln>
                            <a:noFill/>
                          </a:ln>
                        </pic:spPr>
                      </pic:pic>
                    </a:graphicData>
                  </a:graphic>
                </wp:anchor>
              </w:drawing>
            </w:r>
            <w:r>
              <w:rPr>
                <w:rFonts w:hint="eastAsia"/>
                <w:lang w:val="en-US" w:eastAsia="zh-CN"/>
              </w:rPr>
              <w:t>现场审核、抽查《污水站运行记录表》（2012.3.31 9:00 ~ 23:00 、1:00 ~ 7:00）包括“中水提升泵2#、流量2.81~2.98”、“污泥回流泵、混合计加药泵”等工作正常、操作人“袁勤能、王福兴、刘优高”（签字信息）；另查2021.1.31.、2021.2.28、设备运行正常、有责任人确认信息；查对应的《污水站配药记录表》包括配药名称重量、时间操作人、库存量等信息、其中聚合氯化铝配药日期2021.1.7、1.14、1.21、1.28、2.4、2.11、2.18、2.25、3.4....4.8、确认人袁勤能（签字）</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default"/>
                <w:lang w:val="en-US" w:eastAsia="zh-CN"/>
              </w:rPr>
            </w:pPr>
            <w:r>
              <w:rPr>
                <w:rFonts w:hint="eastAsia"/>
                <w:lang w:val="en-US" w:eastAsia="zh-CN"/>
              </w:rPr>
              <w:t>提供《废水接纳协议书》琼海污水处理有限公司、日期2020.9、双方盖章确认；</w:t>
            </w:r>
          </w:p>
          <w:p>
            <w:pPr>
              <w:spacing w:line="360" w:lineRule="auto"/>
              <w:rPr>
                <w:rFonts w:hint="eastAsia"/>
                <w:lang w:val="en-US" w:eastAsia="zh-CN"/>
              </w:rPr>
            </w:pPr>
            <w:r>
              <w:rPr>
                <w:rFonts w:hint="eastAsia"/>
                <w:lang w:val="en-US" w:eastAsia="zh-CN"/>
              </w:rPr>
              <w:t>在风险控制方面策划了：环境监测和测量控制程序、环境管理体系运行控制程序、应急准备与响应控制程序等。</w:t>
            </w:r>
          </w:p>
          <w:p>
            <w:pPr>
              <w:numPr>
                <w:ilvl w:val="0"/>
                <w:numId w:val="0"/>
              </w:numPr>
              <w:ind w:leftChars="0"/>
              <w:rPr>
                <w:rFonts w:hint="eastAsia"/>
                <w:lang w:val="en-US" w:eastAsia="zh-CN"/>
              </w:rPr>
            </w:pPr>
            <w:r>
              <w:rPr>
                <w:rFonts w:hint="eastAsia"/>
                <w:lang w:val="en-US" w:eastAsia="zh-CN"/>
              </w:rPr>
              <w:t>2、生活和医疗服务提供过程固体废弃物的排放、危险化学品的排放处理情况：</w:t>
            </w:r>
          </w:p>
          <w:p>
            <w:pPr>
              <w:numPr>
                <w:ilvl w:val="0"/>
                <w:numId w:val="0"/>
              </w:numPr>
              <w:ind w:leftChars="0"/>
              <w:rPr>
                <w:rFonts w:hint="default"/>
                <w:lang w:val="en-US" w:eastAsia="zh-CN"/>
              </w:rPr>
            </w:pPr>
            <w:r>
              <w:rPr>
                <w:rFonts w:hint="eastAsia"/>
                <w:lang w:val="en-US" w:eastAsia="zh-CN"/>
              </w:rPr>
              <w:t>医废：有“危险标识”（见图）、《医废处置流程图》、《医疗废物应急预案》、《医废处置管理规定》、《医废分类目录》示墙、区域分类“化学性废物”、“病理性废物”、“药物性废物”；</w:t>
            </w:r>
          </w:p>
          <w:p>
            <w:pPr>
              <w:rPr>
                <w:rFonts w:hint="eastAsia"/>
                <w:lang w:val="en-US" w:eastAsia="zh-CN"/>
              </w:rPr>
            </w:pPr>
            <w:r>
              <w:rPr>
                <w:rFonts w:hint="eastAsia"/>
                <w:lang w:val="en-US" w:eastAsia="zh-CN"/>
              </w:rPr>
              <w:t>抽查相关记录、《紫外线消毒登记本》日期2021.4.1~12、时间21:00~23:00、累计时间242、袁勤能签字；查《物体表面擦拭、浸泡消毒登记本》日期2021.4.1`12、桌面、门、电子秤等、有王梅兰林明生签字信息；《消毒液监测登记本》日期2021.4.、品名371402AL*011、500ml、擦拭、结论正常、王梅兰签字；《医废暂存间暂存箱清洗记录》日期2021.4.、有责任人签字；《医疗垃圾转运交接单》2021.4.、包括“感染性、损伤性、其他废物”重量体积等、有交接人王娟卢义旁袁勤能签字信息；三联单《危险废物转移联单》（医废专用）（0008191#）、日期2021.4、有交接重量交接人签字等信息、“光大环保能源三亚有限公司”签章；查2021.3.单号0010419#、信息基本完整；</w:t>
            </w:r>
          </w:p>
          <w:p>
            <w:pPr>
              <w:rPr>
                <w:rFonts w:hint="default"/>
                <w:lang w:val="en-US" w:eastAsia="zh-CN"/>
              </w:rPr>
            </w:pPr>
            <w:r>
              <w:rPr>
                <w:rFonts w:hint="eastAsia"/>
                <w:lang w:val="en-US" w:eastAsia="zh-CN"/>
              </w:rPr>
              <w:t>查《医废委托处置合同》（EBCH-SYNY-YF-00）、日期2020.12.1、双方盖章签字；见附件。</w:t>
            </w:r>
          </w:p>
          <w:p>
            <w:pPr>
              <w:rPr>
                <w:rFonts w:hint="default"/>
                <w:lang w:val="en-US" w:eastAsia="zh-CN"/>
              </w:rPr>
            </w:pPr>
            <w:r>
              <w:rPr>
                <w:rFonts w:hint="eastAsia"/>
                <w:lang w:val="en-US" w:eastAsia="zh-CN"/>
              </w:rPr>
              <w:t>《使用一次性输液瓶输液袋处置合同》甲方“海口惠康***有限公司”、双方盖章签字确认；见附件。</w:t>
            </w:r>
          </w:p>
          <w:p>
            <w:pPr>
              <w:rPr>
                <w:rFonts w:hint="eastAsia"/>
                <w:lang w:val="en-US" w:eastAsia="zh-CN"/>
              </w:rPr>
            </w:pPr>
            <w:r>
              <w:rPr>
                <w:rFonts w:hint="eastAsia"/>
                <w:lang w:val="en-US" w:eastAsia="zh-CN"/>
              </w:rPr>
              <w:t>抽查《未被污染输液瓶回收处理交接转移联单》日期2020-5/11、26/22、单号0007471#、袁勤能签字；</w:t>
            </w:r>
          </w:p>
          <w:p>
            <w:pPr>
              <w:rPr>
                <w:rFonts w:hint="eastAsia"/>
                <w:lang w:val="en-US" w:eastAsia="zh-CN"/>
              </w:rPr>
            </w:pPr>
            <w:r>
              <w:rPr>
                <w:rFonts w:hint="eastAsia"/>
                <w:lang w:val="en-US" w:eastAsia="zh-CN"/>
              </w:rPr>
              <w:t>抽查《麻醉药品精神药品销毁申请转运执行记录表》2021.6.8.、包括药品、剂型、规格批号等、确认人袁勤能尹志超林蝶签字；</w:t>
            </w:r>
          </w:p>
          <w:p>
            <w:pPr>
              <w:spacing w:line="360" w:lineRule="auto"/>
              <w:rPr>
                <w:rFonts w:hint="default"/>
                <w:lang w:val="en-US" w:eastAsia="zh-CN"/>
              </w:rPr>
            </w:pPr>
            <w:r>
              <w:rPr>
                <w:rFonts w:hint="eastAsia"/>
                <w:lang w:val="en-US" w:eastAsia="zh-CN"/>
              </w:rPr>
              <w:t>《麻醉药品第一类精神药品销毁申请转运执行记录表》2021.6.8.、包括药品、剂型、规格批号等、确认人黄</w:t>
            </w:r>
            <w:r>
              <w:drawing>
                <wp:anchor distT="0" distB="0" distL="114300" distR="114300" simplePos="0" relativeHeight="251671552" behindDoc="0" locked="0" layoutInCell="1" allowOverlap="1">
                  <wp:simplePos x="0" y="0"/>
                  <wp:positionH relativeFrom="column">
                    <wp:posOffset>3092450</wp:posOffset>
                  </wp:positionH>
                  <wp:positionV relativeFrom="paragraph">
                    <wp:posOffset>372110</wp:posOffset>
                  </wp:positionV>
                  <wp:extent cx="2680335" cy="3347085"/>
                  <wp:effectExtent l="0" t="0" r="12065" b="5715"/>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a:stretch>
                            <a:fillRect/>
                          </a:stretch>
                        </pic:blipFill>
                        <pic:spPr>
                          <a:xfrm>
                            <a:off x="0" y="0"/>
                            <a:ext cx="2680335" cy="334708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273050</wp:posOffset>
                  </wp:positionH>
                  <wp:positionV relativeFrom="paragraph">
                    <wp:posOffset>364490</wp:posOffset>
                  </wp:positionV>
                  <wp:extent cx="2508250" cy="3341370"/>
                  <wp:effectExtent l="0" t="0" r="6350" b="1143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2508250" cy="3341370"/>
                          </a:xfrm>
                          <a:prstGeom prst="rect">
                            <a:avLst/>
                          </a:prstGeom>
                          <a:noFill/>
                          <a:ln>
                            <a:noFill/>
                          </a:ln>
                        </pic:spPr>
                      </pic:pic>
                    </a:graphicData>
                  </a:graphic>
                </wp:anchor>
              </w:drawing>
            </w:r>
            <w:r>
              <w:rPr>
                <w:rFonts w:hint="eastAsia"/>
                <w:lang w:val="en-US" w:eastAsia="zh-CN"/>
              </w:rPr>
              <w:t>文远林蝶签字;</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r>
              <w:rPr>
                <w:rFonts w:hint="eastAsia"/>
                <w:lang w:val="en-US" w:eastAsia="zh-CN"/>
              </w:rPr>
              <w:t>另查《厨余垃圾处置协议》、《生活垃圾处置协议》签署有效、相关处置记录符合规定；</w:t>
            </w:r>
          </w:p>
          <w:p>
            <w:pPr>
              <w:rPr>
                <w:rFonts w:hint="eastAsia"/>
                <w:lang w:val="en-US" w:eastAsia="zh-CN"/>
              </w:rPr>
            </w:pPr>
            <w:r>
              <w:rPr>
                <w:rFonts w:hint="eastAsia"/>
                <w:lang w:val="en-US" w:eastAsia="zh-CN"/>
              </w:rPr>
              <w:t>提供《生活垃圾废物处置转运单》（每日）2021.3.、包括“体积重量”及“王菊”确认信息；</w:t>
            </w:r>
          </w:p>
          <w:p>
            <w:pPr>
              <w:pStyle w:val="2"/>
              <w:rPr>
                <w:rFonts w:hint="eastAsia"/>
                <w:lang w:val="en-US" w:eastAsia="zh-CN"/>
              </w:rPr>
            </w:pPr>
            <w:r>
              <w:rPr>
                <w:rFonts w:hint="eastAsia"/>
                <w:lang w:val="en-US" w:eastAsia="zh-CN"/>
              </w:rPr>
              <w:t>提供《废弃物分类、处理清单》分为“第一、三类”垃圾、有责任确认信息；</w:t>
            </w:r>
          </w:p>
          <w:p>
            <w:pPr>
              <w:pStyle w:val="2"/>
              <w:numPr>
                <w:ilvl w:val="0"/>
                <w:numId w:val="1"/>
              </w:numPr>
              <w:ind w:left="0" w:leftChars="0" w:firstLine="0" w:firstLineChars="0"/>
              <w:rPr>
                <w:rFonts w:hint="eastAsia"/>
                <w:lang w:val="en-US" w:eastAsia="zh-CN"/>
              </w:rPr>
            </w:pPr>
            <w:r>
              <w:rPr>
                <w:rFonts w:hint="eastAsia"/>
                <w:lang w:val="en-US" w:eastAsia="zh-CN"/>
              </w:rPr>
              <w:t>抽查-日常工作、生活过程中废气的排放控制运行情况：注意为食堂油烟排放、备用发电机的无组织排放</w:t>
            </w:r>
            <w:r>
              <w:rPr>
                <w:rFonts w:hint="eastAsia"/>
                <w:lang w:val="en-US" w:eastAsia="zh-CN"/>
              </w:rPr>
              <w:drawing>
                <wp:anchor distT="0" distB="0" distL="114300" distR="114300" simplePos="0" relativeHeight="251672576" behindDoc="0" locked="0" layoutInCell="1" allowOverlap="1">
                  <wp:simplePos x="0" y="0"/>
                  <wp:positionH relativeFrom="column">
                    <wp:posOffset>342900</wp:posOffset>
                  </wp:positionH>
                  <wp:positionV relativeFrom="paragraph">
                    <wp:posOffset>797560</wp:posOffset>
                  </wp:positionV>
                  <wp:extent cx="4897755" cy="1948815"/>
                  <wp:effectExtent l="0" t="0" r="4445" b="6985"/>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1"/>
                          <a:stretch>
                            <a:fillRect/>
                          </a:stretch>
                        </pic:blipFill>
                        <pic:spPr>
                          <a:xfrm>
                            <a:off x="0" y="0"/>
                            <a:ext cx="4897755" cy="1948815"/>
                          </a:xfrm>
                          <a:prstGeom prst="rect">
                            <a:avLst/>
                          </a:prstGeom>
                          <a:noFill/>
                          <a:ln>
                            <a:noFill/>
                          </a:ln>
                        </pic:spPr>
                      </pic:pic>
                    </a:graphicData>
                  </a:graphic>
                </wp:anchor>
              </w:drawing>
            </w:r>
            <w:r>
              <w:rPr>
                <w:rFonts w:hint="eastAsia"/>
                <w:lang w:val="en-US" w:eastAsia="zh-CN"/>
              </w:rPr>
              <w:t>废气。厨房设置油烟净化器，厨房油烟净化装置前油烟浓度在 3.13～3.38mg/m3 之间，油烟净化装置后油烟浓度在 0.34～0.45mg/m3 之间，油烟净化装置净化效率在88.06～91.63%之间，可达到《饮食业油烟排放标准》（GB18483-2001）表 2 大型规模最高允许排放浓度及净化设施最低去除效率。</w:t>
            </w: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1"/>
              </w:numPr>
              <w:spacing w:after="200" w:line="276" w:lineRule="auto"/>
              <w:ind w:left="0" w:leftChars="0" w:firstLine="0" w:firstLineChars="0"/>
              <w:jc w:val="both"/>
              <w:rPr>
                <w:rFonts w:hint="eastAsia"/>
                <w:lang w:val="en-US" w:eastAsia="zh-CN"/>
              </w:rPr>
            </w:pPr>
            <w:r>
              <w:rPr>
                <w:rFonts w:hint="eastAsia"/>
                <w:lang w:val="en-US" w:eastAsia="zh-CN"/>
              </w:rPr>
              <w:t>抽查-潜在火灾的控制情况：医院在大楼各楼层配置了消防设施设备，包含：消防栓、灭火器、报警器、防火卷闸门、烟感系统，园区建设了地下消防用水，各项设施设备的均有日常检查，能够保持正常使用。</w:t>
            </w: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r>
              <w:rPr>
                <w:rFonts w:hint="default"/>
                <w:lang w:val="en-US" w:eastAsia="zh-CN"/>
              </w:rPr>
              <w:drawing>
                <wp:anchor distT="0" distB="0" distL="114300" distR="114300" simplePos="0" relativeHeight="251674624" behindDoc="0" locked="0" layoutInCell="1" allowOverlap="1">
                  <wp:simplePos x="0" y="0"/>
                  <wp:positionH relativeFrom="column">
                    <wp:posOffset>3159760</wp:posOffset>
                  </wp:positionH>
                  <wp:positionV relativeFrom="paragraph">
                    <wp:posOffset>92710</wp:posOffset>
                  </wp:positionV>
                  <wp:extent cx="2621915" cy="1966595"/>
                  <wp:effectExtent l="0" t="0" r="6985" b="1905"/>
                  <wp:wrapNone/>
                  <wp:docPr id="18" name="图片 18" descr="1d9d31cdd2876e27f9a9efd02356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d9d31cdd2876e27f9a9efd023569a9"/>
                          <pic:cNvPicPr>
                            <a:picLocks noChangeAspect="1"/>
                          </pic:cNvPicPr>
                        </pic:nvPicPr>
                        <pic:blipFill>
                          <a:blip r:embed="rId22"/>
                          <a:stretch>
                            <a:fillRect/>
                          </a:stretch>
                        </pic:blipFill>
                        <pic:spPr>
                          <a:xfrm>
                            <a:off x="0" y="0"/>
                            <a:ext cx="2621915" cy="1966595"/>
                          </a:xfrm>
                          <a:prstGeom prst="rect">
                            <a:avLst/>
                          </a:prstGeom>
                        </pic:spPr>
                      </pic:pic>
                    </a:graphicData>
                  </a:graphic>
                </wp:anchor>
              </w:drawing>
            </w:r>
            <w:r>
              <w:rPr>
                <w:rFonts w:hint="default"/>
                <w:lang w:val="en-US" w:eastAsia="zh-CN"/>
              </w:rPr>
              <w:drawing>
                <wp:anchor distT="0" distB="0" distL="114300" distR="114300" simplePos="0" relativeHeight="251673600" behindDoc="0" locked="0" layoutInCell="1" allowOverlap="1">
                  <wp:simplePos x="0" y="0"/>
                  <wp:positionH relativeFrom="column">
                    <wp:posOffset>204470</wp:posOffset>
                  </wp:positionH>
                  <wp:positionV relativeFrom="paragraph">
                    <wp:posOffset>105410</wp:posOffset>
                  </wp:positionV>
                  <wp:extent cx="2652395" cy="1989455"/>
                  <wp:effectExtent l="0" t="0" r="1905" b="4445"/>
                  <wp:wrapNone/>
                  <wp:docPr id="17" name="图片 17" descr="48075a9b13bc941b620034afc563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8075a9b13bc941b620034afc563df4"/>
                          <pic:cNvPicPr>
                            <a:picLocks noChangeAspect="1"/>
                          </pic:cNvPicPr>
                        </pic:nvPicPr>
                        <pic:blipFill>
                          <a:blip r:embed="rId23"/>
                          <a:stretch>
                            <a:fillRect/>
                          </a:stretch>
                        </pic:blipFill>
                        <pic:spPr>
                          <a:xfrm>
                            <a:off x="0" y="0"/>
                            <a:ext cx="2652395" cy="1989455"/>
                          </a:xfrm>
                          <a:prstGeom prst="rect">
                            <a:avLst/>
                          </a:prstGeom>
                        </pic:spPr>
                      </pic:pic>
                    </a:graphicData>
                  </a:graphic>
                </wp:anchor>
              </w:drawing>
            </w: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r>
              <w:rPr>
                <w:rFonts w:hint="default"/>
                <w:lang w:val="en-US" w:eastAsia="zh-CN"/>
              </w:rPr>
              <w:drawing>
                <wp:anchor distT="0" distB="0" distL="114300" distR="114300" simplePos="0" relativeHeight="251676672" behindDoc="0" locked="0" layoutInCell="1" allowOverlap="1">
                  <wp:simplePos x="0" y="0"/>
                  <wp:positionH relativeFrom="column">
                    <wp:posOffset>2953385</wp:posOffset>
                  </wp:positionH>
                  <wp:positionV relativeFrom="paragraph">
                    <wp:posOffset>175895</wp:posOffset>
                  </wp:positionV>
                  <wp:extent cx="2787015" cy="2090420"/>
                  <wp:effectExtent l="0" t="0" r="6985" b="5080"/>
                  <wp:wrapNone/>
                  <wp:docPr id="20" name="图片 20" descr="bb02a4aaf8045dd89b264e828b03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b02a4aaf8045dd89b264e828b038ea"/>
                          <pic:cNvPicPr>
                            <a:picLocks noChangeAspect="1"/>
                          </pic:cNvPicPr>
                        </pic:nvPicPr>
                        <pic:blipFill>
                          <a:blip r:embed="rId24"/>
                          <a:stretch>
                            <a:fillRect/>
                          </a:stretch>
                        </pic:blipFill>
                        <pic:spPr>
                          <a:xfrm>
                            <a:off x="0" y="0"/>
                            <a:ext cx="2787015" cy="2090420"/>
                          </a:xfrm>
                          <a:prstGeom prst="rect">
                            <a:avLst/>
                          </a:prstGeom>
                        </pic:spPr>
                      </pic:pic>
                    </a:graphicData>
                  </a:graphic>
                </wp:anchor>
              </w:drawing>
            </w:r>
            <w:r>
              <w:rPr>
                <w:rFonts w:hint="default"/>
                <w:lang w:val="en-US" w:eastAsia="zh-CN"/>
              </w:rPr>
              <w:drawing>
                <wp:anchor distT="0" distB="0" distL="114300" distR="114300" simplePos="0" relativeHeight="251675648" behindDoc="0" locked="0" layoutInCell="1" allowOverlap="1">
                  <wp:simplePos x="0" y="0"/>
                  <wp:positionH relativeFrom="column">
                    <wp:posOffset>631190</wp:posOffset>
                  </wp:positionH>
                  <wp:positionV relativeFrom="paragraph">
                    <wp:posOffset>97155</wp:posOffset>
                  </wp:positionV>
                  <wp:extent cx="1838960" cy="2724785"/>
                  <wp:effectExtent l="0" t="0" r="2540" b="5715"/>
                  <wp:wrapNone/>
                  <wp:docPr id="19" name="图片 19" descr="92571684ba4c24224348b453fa9c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2571684ba4c24224348b453fa9cd4f"/>
                          <pic:cNvPicPr>
                            <a:picLocks noChangeAspect="1"/>
                          </pic:cNvPicPr>
                        </pic:nvPicPr>
                        <pic:blipFill>
                          <a:blip r:embed="rId25"/>
                          <a:stretch>
                            <a:fillRect/>
                          </a:stretch>
                        </pic:blipFill>
                        <pic:spPr>
                          <a:xfrm>
                            <a:off x="0" y="0"/>
                            <a:ext cx="1838960" cy="2724785"/>
                          </a:xfrm>
                          <a:prstGeom prst="rect">
                            <a:avLst/>
                          </a:prstGeom>
                        </pic:spPr>
                      </pic:pic>
                    </a:graphicData>
                  </a:graphic>
                </wp:anchor>
              </w:drawing>
            </w: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pStyle w:val="2"/>
              <w:widowControl w:val="0"/>
              <w:numPr>
                <w:ilvl w:val="0"/>
                <w:numId w:val="0"/>
              </w:numPr>
              <w:spacing w:after="200" w:line="276" w:lineRule="auto"/>
              <w:jc w:val="both"/>
              <w:rPr>
                <w:rFonts w:hint="default"/>
                <w:lang w:val="en-US" w:eastAsia="zh-CN"/>
              </w:rPr>
            </w:pPr>
          </w:p>
          <w:p>
            <w:pPr>
              <w:spacing w:line="360" w:lineRule="auto"/>
              <w:rPr>
                <w:rFonts w:hint="default"/>
                <w:lang w:val="en-US" w:eastAsia="zh-CN"/>
              </w:rPr>
            </w:pPr>
            <w:r>
              <w:rPr>
                <w:rFonts w:hint="eastAsia"/>
                <w:lang w:val="en-US" w:eastAsia="zh-CN"/>
              </w:rPr>
              <w:t>5、抽查-噪音的控制情况：主要噪声包括备用柴油发电机运行时产生的设备噪声、进出医院产生的交通噪声。项目将备用发电机均设置在独立封闭的发电机房内，并对发电机设置减震垫进行基础减震。在医院内部由保卫人员进行管理进出医院的汽车，对汽车在项目内禁止鸣笛、低速行驶。根据厂界噪声监测结果显示，在正常工况及非正常工况，项目东界及西界昼间、夜间噪声均满足《工业企业厂界环境噪声排放标准》（GB12348-2008）中的 4 类标准，其余厂界昼间、夜间噪声均可满足《工业企业厂界环境噪声排放标准》（GB 12348-2008）中的 1 类标准。</w:t>
            </w:r>
          </w:p>
          <w:p>
            <w:pPr>
              <w:numPr>
                <w:ilvl w:val="0"/>
                <w:numId w:val="0"/>
              </w:numPr>
              <w:spacing w:line="360" w:lineRule="auto"/>
              <w:rPr>
                <w:rFonts w:hint="eastAsia"/>
                <w:color w:val="auto"/>
                <w:lang w:val="en-US" w:eastAsia="zh-CN"/>
              </w:rPr>
            </w:pPr>
            <w:r>
              <w:rPr>
                <w:rFonts w:hint="eastAsia"/>
                <w:color w:val="auto"/>
                <w:lang w:val="en-US" w:eastAsia="zh-CN"/>
              </w:rPr>
              <w:t>6、查环境相关资金投入情况</w:t>
            </w:r>
          </w:p>
          <w:p>
            <w:pPr>
              <w:spacing w:line="360" w:lineRule="auto"/>
              <w:rPr>
                <w:rFonts w:hint="default"/>
                <w:color w:val="auto"/>
                <w:lang w:val="en-US" w:eastAsia="zh-CN"/>
              </w:rPr>
            </w:pPr>
            <w:r>
              <w:rPr>
                <w:rFonts w:hint="eastAsia"/>
                <w:color w:val="auto"/>
                <w:lang w:val="en-US" w:eastAsia="zh-CN"/>
              </w:rPr>
              <w:t>查《环保/安全资金投入》，包含：员工各种保险、消防设施、员工劳保护品、固废处理、安全设施、环保设施、职业健康查体、各种福利待遇，总计858000元。</w:t>
            </w:r>
          </w:p>
          <w:p>
            <w:pPr>
              <w:spacing w:line="360" w:lineRule="auto"/>
              <w:rPr>
                <w:rFonts w:hint="default"/>
                <w:color w:val="auto"/>
                <w:lang w:val="en-US" w:eastAsia="zh-CN"/>
              </w:rPr>
            </w:pPr>
            <w:r>
              <w:rPr>
                <w:rFonts w:hint="eastAsia"/>
                <w:color w:val="auto"/>
                <w:lang w:val="en-US" w:eastAsia="zh-CN"/>
              </w:rPr>
              <w:t>7、查相关方环境告知情况</w:t>
            </w:r>
          </w:p>
          <w:p>
            <w:pPr>
              <w:spacing w:line="360" w:lineRule="auto"/>
              <w:rPr>
                <w:rFonts w:hint="default"/>
                <w:color w:val="auto"/>
                <w:lang w:val="en-US" w:eastAsia="zh-CN"/>
              </w:rPr>
            </w:pPr>
            <w:r>
              <w:rPr>
                <w:rFonts w:hint="eastAsia"/>
                <w:color w:val="auto"/>
                <w:lang w:val="en-US" w:eastAsia="zh-CN"/>
              </w:rPr>
              <w:t>提供了《环境和职业健康安全相关方告知书》，对企业的方针、环保要求等进行了告知，查《相关方告知书发放记录》，相关方包含园区相关方、供应商等。</w:t>
            </w:r>
          </w:p>
          <w:p>
            <w:pPr>
              <w:spacing w:line="360" w:lineRule="auto"/>
              <w:rPr>
                <w:rFonts w:hint="eastAsia" w:ascii="Times New Roman" w:hAnsi="Times New Roman" w:eastAsia="宋体" w:cs="Times New Roman"/>
                <w:kern w:val="2"/>
                <w:sz w:val="21"/>
                <w:lang w:val="en-US" w:eastAsia="zh-CN" w:bidi="ar-SA"/>
              </w:rPr>
            </w:pPr>
            <w:r>
              <w:rPr>
                <w:rFonts w:hint="eastAsia"/>
                <w:lang w:val="en-US" w:eastAsia="zh-CN"/>
              </w:rPr>
              <w:t>运行策划和控制符合要求；</w:t>
            </w:r>
          </w:p>
        </w:tc>
        <w:tc>
          <w:tcPr>
            <w:tcW w:w="1585" w:type="dxa"/>
            <w:vAlign w:val="top"/>
          </w:tcPr>
          <w:p>
            <w:pPr>
              <w:rPr>
                <w:rFonts w:hint="eastAsia" w:ascii="宋体" w:hAnsi="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spacing w:line="360" w:lineRule="auto"/>
              <w:rPr>
                <w:rFonts w:hint="eastAsia" w:ascii="Times New Roman" w:hAnsi="Times New Roman" w:eastAsia="宋体" w:cs="Times New Roman"/>
                <w:color w:val="auto"/>
                <w:kern w:val="2"/>
                <w:sz w:val="21"/>
                <w:lang w:val="en-US" w:eastAsia="zh-CN" w:bidi="ar-SA"/>
              </w:rPr>
            </w:pPr>
            <w:r>
              <w:rPr>
                <w:rFonts w:hint="default"/>
                <w:color w:val="auto"/>
                <w:lang w:val="en-US" w:eastAsia="zh-CN"/>
              </w:rPr>
              <w:t>应急准备和响应</w:t>
            </w:r>
          </w:p>
        </w:tc>
        <w:tc>
          <w:tcPr>
            <w:tcW w:w="960" w:type="dxa"/>
            <w:vAlign w:val="top"/>
          </w:tcPr>
          <w:p>
            <w:pPr>
              <w:spacing w:line="360" w:lineRule="auto"/>
              <w:rPr>
                <w:rFonts w:hint="eastAsia" w:ascii="Times New Roman" w:hAnsi="Times New Roman" w:eastAsia="宋体" w:cs="Times New Roman"/>
                <w:color w:val="auto"/>
                <w:kern w:val="2"/>
                <w:sz w:val="21"/>
                <w:lang w:val="en-US" w:eastAsia="zh-CN" w:bidi="ar-SA"/>
              </w:rPr>
            </w:pPr>
            <w:r>
              <w:rPr>
                <w:rFonts w:hint="eastAsia"/>
                <w:color w:val="auto"/>
                <w:lang w:val="en-US" w:eastAsia="zh-CN"/>
              </w:rPr>
              <w:t>E8.2</w:t>
            </w:r>
          </w:p>
        </w:tc>
        <w:tc>
          <w:tcPr>
            <w:tcW w:w="10004" w:type="dxa"/>
            <w:vAlign w:val="top"/>
          </w:tcPr>
          <w:p>
            <w:pPr>
              <w:spacing w:line="360" w:lineRule="auto"/>
              <w:rPr>
                <w:rFonts w:hint="eastAsia"/>
                <w:color w:val="auto"/>
                <w:lang w:val="en-US" w:eastAsia="zh-CN"/>
              </w:rPr>
            </w:pPr>
            <w:r>
              <w:rPr>
                <w:rFonts w:hint="eastAsia"/>
                <w:color w:val="auto"/>
                <w:lang w:val="en-US" w:eastAsia="zh-CN"/>
              </w:rPr>
              <w:t>提供2021年8月1日发布的最新版《博鳌国际医院应急预案汇编》，包含环境相关的应急预案：突发水质污染事故应急预案、突发环境事件应急预案等，有组织人员结构、人员组成、通讯联络、应急物资准备、应急处</w:t>
            </w:r>
            <w:r>
              <w:rPr>
                <w:color w:val="auto"/>
              </w:rPr>
              <w:drawing>
                <wp:anchor distT="0" distB="0" distL="114300" distR="114300" simplePos="0" relativeHeight="251677696" behindDoc="0" locked="0" layoutInCell="1" allowOverlap="1">
                  <wp:simplePos x="0" y="0"/>
                  <wp:positionH relativeFrom="column">
                    <wp:posOffset>1536700</wp:posOffset>
                  </wp:positionH>
                  <wp:positionV relativeFrom="paragraph">
                    <wp:posOffset>107315</wp:posOffset>
                  </wp:positionV>
                  <wp:extent cx="2708910" cy="3408045"/>
                  <wp:effectExtent l="0" t="0" r="8890" b="8255"/>
                  <wp:wrapNone/>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6"/>
                          <a:stretch>
                            <a:fillRect/>
                          </a:stretch>
                        </pic:blipFill>
                        <pic:spPr>
                          <a:xfrm>
                            <a:off x="0" y="0"/>
                            <a:ext cx="2708910" cy="3408045"/>
                          </a:xfrm>
                          <a:prstGeom prst="rect">
                            <a:avLst/>
                          </a:prstGeom>
                          <a:noFill/>
                          <a:ln>
                            <a:noFill/>
                          </a:ln>
                        </pic:spPr>
                      </pic:pic>
                    </a:graphicData>
                  </a:graphic>
                </wp:anchor>
              </w:drawing>
            </w:r>
            <w:r>
              <w:rPr>
                <w:rFonts w:hint="eastAsia"/>
                <w:color w:val="auto"/>
                <w:lang w:val="en-US" w:eastAsia="zh-CN"/>
              </w:rPr>
              <w:t>置程序、注意事项等。</w:t>
            </w:r>
          </w:p>
          <w:p>
            <w:pPr>
              <w:pStyle w:val="2"/>
              <w:rPr>
                <w:rFonts w:hint="eastAsia"/>
                <w:color w:val="auto"/>
                <w:lang w:val="en-US" w:eastAsia="zh-CN"/>
              </w:rPr>
            </w:pPr>
          </w:p>
          <w:p>
            <w:pPr>
              <w:pStyle w:val="2"/>
              <w:rPr>
                <w:rFonts w:hint="eastAsia"/>
                <w:color w:val="auto"/>
                <w:lang w:val="en-US" w:eastAsia="zh-CN"/>
              </w:rPr>
            </w:pPr>
          </w:p>
          <w:p>
            <w:pPr>
              <w:pStyle w:val="2"/>
              <w:rPr>
                <w:rFonts w:hint="eastAsia"/>
                <w:color w:val="auto"/>
                <w:lang w:val="en-US" w:eastAsia="zh-CN"/>
              </w:rPr>
            </w:pPr>
          </w:p>
          <w:p>
            <w:pPr>
              <w:pStyle w:val="2"/>
              <w:rPr>
                <w:rFonts w:hint="eastAsia"/>
                <w:color w:val="auto"/>
                <w:lang w:val="en-US" w:eastAsia="zh-CN"/>
              </w:rPr>
            </w:pPr>
          </w:p>
          <w:p>
            <w:pPr>
              <w:pStyle w:val="2"/>
              <w:rPr>
                <w:rFonts w:hint="eastAsia"/>
                <w:color w:val="auto"/>
                <w:lang w:val="en-US" w:eastAsia="zh-CN"/>
              </w:rPr>
            </w:pPr>
          </w:p>
          <w:p>
            <w:pPr>
              <w:pStyle w:val="2"/>
              <w:rPr>
                <w:rFonts w:hint="eastAsia"/>
                <w:color w:val="auto"/>
                <w:lang w:val="en-US" w:eastAsia="zh-CN"/>
              </w:rPr>
            </w:pPr>
          </w:p>
          <w:p>
            <w:pPr>
              <w:pStyle w:val="2"/>
              <w:rPr>
                <w:rFonts w:hint="eastAsia"/>
                <w:color w:val="auto"/>
                <w:lang w:val="en-US" w:eastAsia="zh-CN"/>
              </w:rPr>
            </w:pPr>
          </w:p>
          <w:p>
            <w:pPr>
              <w:pStyle w:val="2"/>
              <w:rPr>
                <w:rFonts w:hint="eastAsia"/>
                <w:color w:val="auto"/>
                <w:lang w:val="en-US" w:eastAsia="zh-CN"/>
              </w:rPr>
            </w:pPr>
          </w:p>
          <w:p>
            <w:pPr>
              <w:pStyle w:val="2"/>
              <w:rPr>
                <w:rFonts w:hint="eastAsia"/>
                <w:color w:val="auto"/>
                <w:lang w:val="en-US" w:eastAsia="zh-CN"/>
              </w:rPr>
            </w:pPr>
          </w:p>
          <w:p>
            <w:pPr>
              <w:spacing w:line="240" w:lineRule="auto"/>
              <w:rPr>
                <w:rFonts w:hint="eastAsia" w:ascii="Times New Roman" w:hAnsi="Times New Roman" w:eastAsia="宋体" w:cs="Times New Roman"/>
                <w:color w:val="auto"/>
                <w:lang w:val="en-US" w:eastAsia="zh-CN"/>
              </w:rPr>
            </w:pPr>
            <w:r>
              <w:rPr>
                <w:rFonts w:hint="eastAsia"/>
                <w:color w:val="auto"/>
                <w:lang w:val="en-US" w:eastAsia="zh-CN"/>
              </w:rPr>
              <w:t>提供</w:t>
            </w:r>
            <w:r>
              <w:rPr>
                <w:rFonts w:hint="eastAsia" w:ascii="Times New Roman" w:hAnsi="Times New Roman" w:eastAsia="宋体" w:cs="Times New Roman"/>
                <w:color w:val="auto"/>
                <w:lang w:val="en-US" w:eastAsia="zh-CN"/>
              </w:rPr>
              <w:t>《消防演习总结报告》，有演习项目：灭火、逃生自救，地点：运营部，时间：2020年12月11日。</w:t>
            </w:r>
          </w:p>
          <w:p>
            <w:pPr>
              <w:spacing w:line="240" w:lineRule="auto"/>
              <w:rPr>
                <w:rFonts w:hint="eastAsia"/>
                <w:color w:val="auto"/>
                <w:lang w:val="en-US" w:eastAsia="zh-CN"/>
              </w:rPr>
            </w:pPr>
            <w:r>
              <w:rPr>
                <w:rFonts w:hint="eastAsia"/>
                <w:color w:val="auto"/>
                <w:lang w:val="en-US" w:eastAsia="zh-CN"/>
              </w:rPr>
              <w:t>有演练过程记录，演练存在的问题及整改措施等。有火灾应急响应演练评审，对演练中发现的问题要求整改。</w:t>
            </w:r>
          </w:p>
          <w:p>
            <w:pPr>
              <w:spacing w:line="240" w:lineRule="auto"/>
              <w:rPr>
                <w:rFonts w:hint="eastAsia" w:ascii="Times New Roman" w:hAnsi="Times New Roman" w:eastAsia="宋体" w:cs="Times New Roman"/>
                <w:color w:val="auto"/>
                <w:lang w:val="en-US" w:eastAsia="zh-CN"/>
              </w:rPr>
            </w:pPr>
            <w:r>
              <w:rPr>
                <w:rFonts w:hint="eastAsia"/>
                <w:color w:val="auto"/>
                <w:lang w:val="en-US" w:eastAsia="zh-CN"/>
              </w:rPr>
              <w:t>提供</w:t>
            </w:r>
            <w:r>
              <w:rPr>
                <w:rFonts w:hint="eastAsia" w:ascii="Times New Roman" w:hAnsi="Times New Roman" w:eastAsia="宋体" w:cs="Times New Roman"/>
                <w:color w:val="auto"/>
                <w:lang w:val="en-US" w:eastAsia="zh-CN"/>
              </w:rPr>
              <w:t>《污水排放失控预案记录》，有演习项目：演练实施情况记录：</w:t>
            </w:r>
          </w:p>
          <w:p>
            <w:pPr>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8：30 污水处理员排查管道是发现管道破损，污水发生泄漏。并在第一时间通知工程维修人员和总指挥。</w:t>
            </w:r>
          </w:p>
          <w:p>
            <w:pPr>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33--9:30工程维修人员赶到现场对管道进行抢修工作。应急处理组组长、后勤负责人、安保、保洁相关人员陆续到场，穿着好防护设备、准备好污水处理储存容器，进行污水处理收集工作，并将收集的污水及时倒入污水进水口，再由进水口流入污水过滤系统进行处理。</w:t>
            </w:r>
          </w:p>
          <w:p>
            <w:pPr>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9:30管道抢修完成。</w:t>
            </w:r>
          </w:p>
          <w:p>
            <w:pPr>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9：40泄漏污水处理完毕，并采取标本送与第三方公司检测，保卫科对污水泄漏地点进行标示，禁止人员靠近。</w:t>
            </w:r>
          </w:p>
          <w:p>
            <w:pPr>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2021年1月9日，第三方公司检测报告处理，显示污水成分含酸性，污水处理员采取用碱性水对污染地面进行中和处理。</w:t>
            </w:r>
          </w:p>
          <w:p>
            <w:pPr>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时间：2021年1月8日-9日。</w:t>
            </w:r>
          </w:p>
          <w:p>
            <w:pPr>
              <w:spacing w:line="240" w:lineRule="auto"/>
              <w:rPr>
                <w:rFonts w:hint="eastAsia"/>
                <w:color w:val="auto"/>
                <w:lang w:val="en-US" w:eastAsia="zh-CN"/>
              </w:rPr>
            </w:pPr>
            <w:r>
              <w:rPr>
                <w:rFonts w:hint="eastAsia" w:ascii="Times New Roman" w:hAnsi="Times New Roman" w:eastAsia="宋体" w:cs="Times New Roman"/>
                <w:color w:val="auto"/>
                <w:lang w:val="en-US" w:eastAsia="zh-CN"/>
              </w:rPr>
              <w:t>有演练过程记录，演练存在的问题及整改措施</w:t>
            </w:r>
            <w:r>
              <w:rPr>
                <w:rFonts w:hint="eastAsia"/>
                <w:color w:val="auto"/>
                <w:lang w:val="en-US" w:eastAsia="zh-CN"/>
              </w:rPr>
              <w:t>等。有火灾应急响应演练评审，对演练中发现的问题要求整改。</w:t>
            </w:r>
          </w:p>
          <w:p>
            <w:pPr>
              <w:spacing w:line="240" w:lineRule="auto"/>
              <w:rPr>
                <w:rFonts w:hint="eastAsia" w:ascii="Times New Roman" w:hAnsi="Times New Roman" w:eastAsia="宋体" w:cs="Times New Roman"/>
                <w:color w:val="auto"/>
                <w:kern w:val="2"/>
                <w:sz w:val="21"/>
                <w:lang w:val="en-US" w:eastAsia="zh-CN" w:bidi="ar-SA"/>
              </w:rPr>
            </w:pPr>
            <w:r>
              <w:rPr>
                <w:rFonts w:hint="eastAsia"/>
                <w:color w:val="auto"/>
                <w:lang w:val="en-US" w:eastAsia="zh-CN"/>
              </w:rPr>
              <w:t>医院在大楼各楼层配置了消防设施设备，包含：消防栓、灭火器、报警器、防火卷闸门、烟感系统，园区建设了地下消防用水，各项设施设备的均有日常检查，能够保持正常使用。</w:t>
            </w:r>
          </w:p>
        </w:tc>
        <w:tc>
          <w:tcPr>
            <w:tcW w:w="1585" w:type="dxa"/>
            <w:vAlign w:val="top"/>
          </w:tcPr>
          <w:p>
            <w:pPr>
              <w:rPr>
                <w:rFonts w:hint="eastAsia" w:ascii="宋体" w:hAnsi="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160" w:type="dxa"/>
            <w:vAlign w:val="center"/>
          </w:tcPr>
          <w:p>
            <w:pPr>
              <w:spacing w:line="360" w:lineRule="auto"/>
              <w:rPr>
                <w:rFonts w:hint="default" w:ascii="宋体" w:hAnsi="宋体" w:eastAsia="宋体" w:cs="宋体"/>
                <w:color w:val="000000"/>
                <w:sz w:val="21"/>
                <w:szCs w:val="21"/>
                <w:lang w:val="en-US" w:eastAsia="zh-CN"/>
              </w:rPr>
            </w:pPr>
            <w:r>
              <w:rPr>
                <w:rFonts w:hint="eastAsia"/>
              </w:rPr>
              <w:t>分析与评价</w:t>
            </w:r>
          </w:p>
        </w:tc>
        <w:tc>
          <w:tcPr>
            <w:tcW w:w="960" w:type="dxa"/>
            <w:vAlign w:val="center"/>
          </w:tcPr>
          <w:p>
            <w:pPr>
              <w:spacing w:line="360" w:lineRule="auto"/>
              <w:rPr>
                <w:rFonts w:hint="eastAsia" w:ascii="宋体" w:hAnsi="宋体" w:eastAsia="宋体" w:cs="宋体"/>
                <w:color w:val="000000"/>
                <w:sz w:val="21"/>
                <w:szCs w:val="21"/>
                <w:lang w:val="en-US" w:eastAsia="zh-CN"/>
              </w:rPr>
            </w:pPr>
            <w:r>
              <w:rPr>
                <w:rFonts w:hint="eastAsia"/>
                <w:lang w:val="en-US" w:eastAsia="zh-CN"/>
              </w:rPr>
              <w:t>Q</w:t>
            </w:r>
            <w:r>
              <w:rPr>
                <w:rFonts w:hint="eastAsia"/>
              </w:rPr>
              <w:t>9.1.3</w:t>
            </w:r>
          </w:p>
        </w:tc>
        <w:tc>
          <w:tcPr>
            <w:tcW w:w="10004"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查通过体系运行所进行监视和测量结果的分析评价：</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1.产品的符合性：通过</w:t>
            </w:r>
            <w:r>
              <w:rPr>
                <w:rFonts w:hint="eastAsia"/>
                <w:lang w:val="en-US" w:eastAsia="zh-CN"/>
              </w:rPr>
              <w:t>材料</w:t>
            </w:r>
            <w:r>
              <w:rPr>
                <w:rFonts w:hint="eastAsia"/>
              </w:rPr>
              <w:t>检验</w:t>
            </w:r>
            <w:r>
              <w:rPr>
                <w:rFonts w:hint="eastAsia"/>
                <w:lang w:eastAsia="zh-CN"/>
              </w:rPr>
              <w:t>记录</w:t>
            </w:r>
            <w:r>
              <w:rPr>
                <w:rFonts w:hint="eastAsia"/>
              </w:rPr>
              <w:t>、</w:t>
            </w:r>
            <w:r>
              <w:rPr>
                <w:rFonts w:hint="eastAsia"/>
                <w:lang w:val="en-US" w:eastAsia="zh-CN"/>
              </w:rPr>
              <w:t>研发</w:t>
            </w:r>
            <w:r>
              <w:rPr>
                <w:rFonts w:hint="eastAsia"/>
              </w:rPr>
              <w:t>过程控制</w:t>
            </w:r>
            <w:r>
              <w:rPr>
                <w:rFonts w:hint="eastAsia"/>
                <w:lang w:eastAsia="zh-CN"/>
              </w:rPr>
              <w:t>记录</w:t>
            </w:r>
            <w:r>
              <w:rPr>
                <w:rFonts w:hint="eastAsia"/>
              </w:rPr>
              <w:t>、成品检验及不合格品的控制达到产品的符合性；</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2.顾客满意程度：每年对客户进行一次顾客满意度调查，经统计顾客满意度</w:t>
            </w:r>
            <w:r>
              <w:rPr>
                <w:rFonts w:hint="eastAsia"/>
                <w:lang w:eastAsia="zh-CN"/>
              </w:rPr>
              <w:t>平均</w:t>
            </w:r>
            <w:r>
              <w:rPr>
                <w:rFonts w:hint="eastAsia"/>
              </w:rPr>
              <w:t>达到</w:t>
            </w:r>
            <w:r>
              <w:rPr>
                <w:rFonts w:hint="eastAsia"/>
                <w:lang w:val="en-US" w:eastAsia="zh-CN"/>
              </w:rPr>
              <w:t>95%分，</w:t>
            </w:r>
            <w:r>
              <w:rPr>
                <w:rFonts w:hint="eastAsia"/>
              </w:rPr>
              <w:t>达到了预期目标；</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3.供应商绩效：每月统计供应商交付绩效。</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4.质量管理绩效和有效性：</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对</w:t>
            </w:r>
            <w:r>
              <w:rPr>
                <w:rFonts w:hint="eastAsia"/>
                <w:lang w:val="en-US" w:eastAsia="zh-CN"/>
              </w:rPr>
              <w:t>医师人员、护士人员、技师人员</w:t>
            </w:r>
            <w:r>
              <w:rPr>
                <w:rFonts w:hint="eastAsia"/>
              </w:rPr>
              <w:t>：进行定额考核，奖惩分明；</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对</w:t>
            </w:r>
            <w:r>
              <w:rPr>
                <w:rFonts w:hint="eastAsia"/>
                <w:lang w:val="en-US" w:eastAsia="zh-CN"/>
              </w:rPr>
              <w:t>医院</w:t>
            </w:r>
            <w:r>
              <w:rPr>
                <w:rFonts w:hint="eastAsia"/>
              </w:rPr>
              <w:t>：a.遵章守法，严格执行</w:t>
            </w:r>
            <w:r>
              <w:rPr>
                <w:rFonts w:hint="eastAsia"/>
                <w:lang w:val="en-US" w:eastAsia="zh-CN"/>
              </w:rPr>
              <w:t>医疗制度的规章制度</w:t>
            </w:r>
            <w:r>
              <w:rPr>
                <w:rFonts w:hint="eastAsia"/>
              </w:rPr>
              <w:t>，不断满足客户潜在的要求，赢得市场，赢得效益；b.通过内审、管评，不断改进完善</w:t>
            </w:r>
            <w:r>
              <w:rPr>
                <w:rFonts w:hint="eastAsia"/>
                <w:lang w:eastAsia="zh-CN"/>
              </w:rPr>
              <w:t>质量环境管理体系</w:t>
            </w:r>
            <w:r>
              <w:rPr>
                <w:rFonts w:hint="eastAsia"/>
              </w:rPr>
              <w:t>运行；</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5.体系策划的有效实施；详见上述1-4条内容；</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6.针对识别出的风险和机遇采取了相应的措施；增加产品宣传的力度</w:t>
            </w:r>
            <w:r>
              <w:rPr>
                <w:rFonts w:hint="eastAsia"/>
                <w:lang w:eastAsia="zh-CN"/>
              </w:rPr>
              <w:t>，</w:t>
            </w:r>
            <w:r>
              <w:rPr>
                <w:rFonts w:hint="eastAsia"/>
              </w:rPr>
              <w:t>此项措施正在组织实施中。</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rPr>
            </w:pPr>
            <w:r>
              <w:rPr>
                <w:rFonts w:hint="eastAsia"/>
              </w:rPr>
              <w:t>7.外部供方的绩效进行评价：从质量、交货期、价格、售后服务等方面基本满足要求，且主要</w:t>
            </w:r>
            <w:r>
              <w:rPr>
                <w:rFonts w:hint="eastAsia"/>
                <w:lang w:val="en-US" w:eastAsia="zh-CN"/>
              </w:rPr>
              <w:t>药品、医疗器械、提供服务相关方</w:t>
            </w:r>
            <w:r>
              <w:rPr>
                <w:rFonts w:hint="eastAsia"/>
              </w:rPr>
              <w:t>已与供方建立了长期合作供需关系。</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val="0"/>
                <w:bCs w:val="0"/>
                <w:color w:val="auto"/>
                <w:sz w:val="21"/>
                <w:szCs w:val="21"/>
              </w:rPr>
            </w:pPr>
            <w:r>
              <w:rPr>
                <w:rFonts w:hint="eastAsia"/>
              </w:rPr>
              <w:t>8.管理体系改进的需求：通过体系运行，产品的符合性、内审、管评的有效性及企业持续改进，不断完善各项软硬件环境，提高产品质量，满足客户需求。</w:t>
            </w:r>
          </w:p>
        </w:tc>
        <w:tc>
          <w:tcPr>
            <w:tcW w:w="1585" w:type="dxa"/>
            <w:vAlign w:val="top"/>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60" w:type="dxa"/>
            <w:vAlign w:val="top"/>
          </w:tcPr>
          <w:p>
            <w:pPr>
              <w:spacing w:line="360" w:lineRule="auto"/>
              <w:rPr>
                <w:rFonts w:hint="eastAsia" w:ascii="宋体" w:hAnsi="宋体" w:cs="宋体"/>
                <w:b w:val="0"/>
                <w:bCs w:val="0"/>
                <w:color w:val="auto"/>
                <w:sz w:val="21"/>
                <w:szCs w:val="21"/>
                <w:lang w:val="en-US" w:eastAsia="zh-CN"/>
              </w:rPr>
            </w:pPr>
            <w:r>
              <w:rPr>
                <w:rFonts w:hint="default"/>
                <w:lang w:val="en-US" w:eastAsia="zh-CN"/>
              </w:rPr>
              <w:t>内部审核；</w:t>
            </w:r>
          </w:p>
        </w:tc>
        <w:tc>
          <w:tcPr>
            <w:tcW w:w="960" w:type="dxa"/>
            <w:vAlign w:val="top"/>
          </w:tcPr>
          <w:p>
            <w:pPr>
              <w:spacing w:line="360" w:lineRule="auto"/>
              <w:rPr>
                <w:rFonts w:hint="eastAsia" w:ascii="宋体" w:hAnsi="宋体" w:cs="宋体"/>
                <w:b w:val="0"/>
                <w:bCs w:val="0"/>
                <w:color w:val="auto"/>
                <w:sz w:val="21"/>
                <w:szCs w:val="21"/>
                <w:lang w:val="en-US" w:eastAsia="zh-CN"/>
              </w:rPr>
            </w:pPr>
            <w:r>
              <w:rPr>
                <w:rFonts w:hint="eastAsia"/>
                <w:lang w:val="en-US" w:eastAsia="zh-CN"/>
              </w:rPr>
              <w:t>QE9.2</w:t>
            </w:r>
          </w:p>
        </w:tc>
        <w:tc>
          <w:tcPr>
            <w:tcW w:w="10004" w:type="dxa"/>
            <w:vAlign w:val="top"/>
          </w:tcPr>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企业编制了《内部审核控制程序》，每年至少一次，两次时间间隔不超过12个月。管理者代表全面负责内部审核的领导、策划和组织。</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查策划：每年进行一次内审，间隔不超过12个月。</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提供《内审计划》， 明确了审核目的、依据、范围、部门、审核内容。计划于</w:t>
            </w:r>
            <w:r>
              <w:rPr>
                <w:rFonts w:hint="eastAsia" w:ascii="宋体" w:hAnsi="宋体"/>
                <w:szCs w:val="21"/>
                <w:lang w:eastAsia="zh-CN"/>
              </w:rPr>
              <w:t>20</w:t>
            </w:r>
            <w:r>
              <w:rPr>
                <w:rFonts w:hint="eastAsia" w:ascii="宋体" w:hAnsi="宋体"/>
                <w:szCs w:val="21"/>
                <w:lang w:val="en-US" w:eastAsia="zh-CN"/>
              </w:rPr>
              <w:t>21</w:t>
            </w:r>
            <w:r>
              <w:rPr>
                <w:rFonts w:hint="eastAsia" w:ascii="宋体" w:hAnsi="宋体"/>
                <w:szCs w:val="21"/>
              </w:rPr>
              <w:t>年0</w:t>
            </w:r>
            <w:r>
              <w:rPr>
                <w:rFonts w:hint="eastAsia" w:ascii="宋体" w:hAnsi="宋体"/>
                <w:szCs w:val="21"/>
                <w:lang w:val="en-US" w:eastAsia="zh-CN"/>
              </w:rPr>
              <w:t>3</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w:t>
            </w:r>
            <w:r>
              <w:rPr>
                <w:rFonts w:hint="eastAsia"/>
                <w:lang w:val="en-US" w:eastAsia="zh-CN"/>
              </w:rPr>
              <w:t>实施。</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lang w:val="en-US" w:eastAsia="zh-CN"/>
              </w:rPr>
            </w:pPr>
            <w:r>
              <w:rPr>
                <w:rFonts w:hint="eastAsia"/>
                <w:lang w:val="en-US" w:eastAsia="zh-CN"/>
              </w:rPr>
              <w:t>审核</w:t>
            </w:r>
            <w:r>
              <w:rPr>
                <w:rFonts w:hint="eastAsia" w:ascii="Times New Roman" w:hAnsi="Times New Roman" w:eastAsia="宋体" w:cs="Times New Roman"/>
                <w:lang w:val="en-US" w:eastAsia="zh-CN"/>
              </w:rPr>
              <w:t>依据：GB/T19001-2016； GB/T24001-2016；《质量环境手册》、《程序文件》，支持性文件、标准、适用的法律法规。</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eastAsia" w:ascii="宋体" w:hAnsi="宋体"/>
                <w:szCs w:val="21"/>
              </w:rPr>
              <w:t xml:space="preserve">组长: </w:t>
            </w:r>
            <w:r>
              <w:rPr>
                <w:rFonts w:hint="eastAsia" w:ascii="宋体" w:hAnsi="宋体"/>
                <w:color w:val="auto"/>
                <w:szCs w:val="21"/>
                <w:lang w:eastAsia="zh-CN"/>
              </w:rPr>
              <w:t>郑莹玉</w:t>
            </w:r>
            <w:r>
              <w:rPr>
                <w:rFonts w:hint="eastAsia" w:ascii="宋体" w:hAnsi="宋体"/>
                <w:color w:val="auto"/>
                <w:szCs w:val="21"/>
                <w:lang w:val="en-US" w:eastAsia="zh-CN"/>
              </w:rPr>
              <w:t xml:space="preserve"> </w:t>
            </w:r>
            <w:r>
              <w:rPr>
                <w:rFonts w:hint="eastAsia" w:ascii="宋体" w:hAnsi="宋体"/>
                <w:szCs w:val="21"/>
              </w:rPr>
              <w:t xml:space="preserve"> 组员:</w:t>
            </w:r>
            <w:r>
              <w:rPr>
                <w:rFonts w:hint="eastAsia"/>
                <w:szCs w:val="21"/>
              </w:rPr>
              <w:t xml:space="preserve"> </w:t>
            </w:r>
            <w:r>
              <w:rPr>
                <w:rFonts w:hint="eastAsia"/>
              </w:rPr>
              <w:t>王大敏</w:t>
            </w:r>
            <w:r>
              <w:rPr>
                <w:rFonts w:hint="eastAsia"/>
                <w:lang w:val="en-US" w:eastAsia="zh-CN"/>
              </w:rPr>
              <w:t xml:space="preserve"> </w:t>
            </w:r>
            <w:r>
              <w:rPr>
                <w:rFonts w:hint="eastAsia"/>
              </w:rPr>
              <w:t>陈妹</w:t>
            </w:r>
            <w:r>
              <w:rPr>
                <w:rFonts w:hint="eastAsia"/>
                <w:lang w:val="en-US" w:eastAsia="zh-CN"/>
              </w:rPr>
              <w:t xml:space="preserve"> </w:t>
            </w:r>
            <w:r>
              <w:rPr>
                <w:rFonts w:hint="eastAsia"/>
              </w:rPr>
              <w:t>梁怡</w:t>
            </w:r>
            <w:r>
              <w:rPr>
                <w:rFonts w:hint="eastAsia"/>
                <w:lang w:val="en-US" w:eastAsia="zh-CN"/>
              </w:rPr>
              <w:t xml:space="preserve"> </w:t>
            </w:r>
            <w:r>
              <w:rPr>
                <w:rFonts w:hint="eastAsia"/>
              </w:rPr>
              <w:t>陈爱花</w:t>
            </w:r>
            <w:r>
              <w:rPr>
                <w:rFonts w:hint="eastAsia"/>
                <w:lang w:val="en-US" w:eastAsia="zh-CN"/>
              </w:rPr>
              <w:t xml:space="preserve">  </w:t>
            </w:r>
            <w:r>
              <w:rPr>
                <w:rFonts w:hint="eastAsia"/>
              </w:rPr>
              <w:t>申发明</w:t>
            </w:r>
            <w:r>
              <w:rPr>
                <w:rFonts w:hint="eastAsia"/>
                <w:lang w:val="en-US" w:eastAsia="zh-CN"/>
              </w:rPr>
              <w:t xml:space="preserve">  </w:t>
            </w:r>
            <w:r>
              <w:rPr>
                <w:rFonts w:hint="eastAsia"/>
              </w:rPr>
              <w:t>周文君</w:t>
            </w:r>
            <w:r>
              <w:rPr>
                <w:rFonts w:hint="eastAsia"/>
                <w:lang w:val="en-US" w:eastAsia="zh-CN"/>
              </w:rPr>
              <w:t xml:space="preserve">  </w:t>
            </w:r>
            <w:r>
              <w:rPr>
                <w:rFonts w:hint="eastAsia"/>
              </w:rPr>
              <w:t>李宁</w:t>
            </w:r>
            <w:r>
              <w:rPr>
                <w:rFonts w:hint="eastAsia"/>
                <w:lang w:val="en-US" w:eastAsia="zh-CN"/>
              </w:rPr>
              <w:t xml:space="preserve">  </w:t>
            </w:r>
            <w:r>
              <w:rPr>
                <w:rFonts w:hint="eastAsia"/>
              </w:rPr>
              <w:t>李辉</w:t>
            </w:r>
            <w:r>
              <w:rPr>
                <w:rFonts w:hint="eastAsia"/>
                <w:lang w:val="en-US" w:eastAsia="zh-CN"/>
              </w:rPr>
              <w:t xml:space="preserve">  </w:t>
            </w:r>
            <w:r>
              <w:rPr>
                <w:rFonts w:hint="eastAsia"/>
              </w:rPr>
              <w:t>林哲</w:t>
            </w:r>
            <w:r>
              <w:rPr>
                <w:rFonts w:hint="eastAsia"/>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 xml:space="preserve">计划中有审核日程安排，内审员审核的部门及条款。计划审核的范围覆盖了所有的部门及条款。                                                                        </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查审核计划实施</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公司于</w:t>
            </w:r>
            <w:r>
              <w:rPr>
                <w:rFonts w:hint="eastAsia" w:ascii="宋体" w:hAnsi="宋体"/>
                <w:szCs w:val="21"/>
                <w:lang w:eastAsia="zh-CN"/>
              </w:rPr>
              <w:t>20</w:t>
            </w:r>
            <w:r>
              <w:rPr>
                <w:rFonts w:hint="eastAsia" w:ascii="宋体" w:hAnsi="宋体"/>
                <w:szCs w:val="21"/>
                <w:lang w:val="en-US" w:eastAsia="zh-CN"/>
              </w:rPr>
              <w:t>21</w:t>
            </w:r>
            <w:r>
              <w:rPr>
                <w:rFonts w:hint="eastAsia" w:ascii="宋体" w:hAnsi="宋体"/>
                <w:szCs w:val="21"/>
              </w:rPr>
              <w:t>年0</w:t>
            </w:r>
            <w:r>
              <w:rPr>
                <w:rFonts w:hint="eastAsia" w:ascii="宋体" w:hAnsi="宋体"/>
                <w:szCs w:val="21"/>
                <w:lang w:val="en-US" w:eastAsia="zh-CN"/>
              </w:rPr>
              <w:t>3</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w:t>
            </w:r>
            <w:r>
              <w:rPr>
                <w:rFonts w:hint="eastAsia"/>
                <w:lang w:val="en-US" w:eastAsia="zh-CN"/>
              </w:rPr>
              <w:t>按照策划的时间进行了内审。出示《内审首末次会议签到表》， 各部门负责人签字齐全。提供了各部门内审检查表。查阅管理层(总经理、管理者代表)、人力资源部、营销客服部、投诉接待办公室、后勤部、设备维修信息工程部、医疗科教部、院办、采购部、再生医学研究中心、财务部检查表，对审核的事实进行了描述，审核条款无遗漏。本次审核开出2项不符合报告。</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lang w:val="en-US" w:eastAsia="zh-CN"/>
              </w:rPr>
            </w:pPr>
            <w:r>
              <w:rPr>
                <w:rFonts w:hint="eastAsia"/>
                <w:lang w:val="en-US" w:eastAsia="zh-CN"/>
              </w:rPr>
              <w:t>对不符合项进行了原因分析及纠正，由内审员进行了验证。</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cs="宋体"/>
                <w:b w:val="0"/>
                <w:bCs w:val="0"/>
                <w:color w:val="auto"/>
                <w:sz w:val="21"/>
                <w:szCs w:val="21"/>
                <w:lang w:val="en-US" w:eastAsia="zh-CN"/>
              </w:rPr>
            </w:pPr>
            <w:r>
              <w:rPr>
                <w:rFonts w:hint="eastAsia"/>
                <w:lang w:val="en-US" w:eastAsia="zh-CN"/>
              </w:rPr>
              <w:t>提供了《内部审核报</w:t>
            </w:r>
            <w:r>
              <w:rPr>
                <w:rFonts w:hint="eastAsia" w:ascii="Times New Roman" w:hAnsi="Times New Roman" w:eastAsia="宋体" w:cs="Times New Roman"/>
                <w:lang w:val="en-US" w:eastAsia="zh-CN"/>
              </w:rPr>
              <w:t>告》，结论：公司的质量/环境管理体系符合ISO9001:2015/ ISO14001:2015标准要求,质量、环境管理体系运行有效，在体系审查中发现的不合格得到举一反三的有效整改后，具备接受第三方认证的条件。</w:t>
            </w:r>
          </w:p>
        </w:tc>
        <w:tc>
          <w:tcPr>
            <w:tcW w:w="1585" w:type="dxa"/>
            <w:vAlign w:val="top"/>
          </w:tcPr>
          <w:p>
            <w:pPr>
              <w:rPr>
                <w:rFonts w:hint="eastAsia" w:ascii="宋体" w:hAnsi="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持续改进</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不合格和纠正措施</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事件、不符合和纠正措施</w:t>
            </w:r>
          </w:p>
          <w:p>
            <w:pPr>
              <w:rPr>
                <w:rFonts w:hint="eastAsia" w:ascii="宋体" w:hAnsi="宋体" w:cs="宋体"/>
                <w:b w:val="0"/>
                <w:bCs w:val="0"/>
                <w:color w:val="auto"/>
                <w:sz w:val="21"/>
                <w:szCs w:val="21"/>
                <w:lang w:val="en-US" w:eastAsia="zh-CN"/>
              </w:rPr>
            </w:pPr>
          </w:p>
        </w:tc>
        <w:tc>
          <w:tcPr>
            <w:tcW w:w="960" w:type="dxa"/>
            <w:vAlign w:val="top"/>
          </w:tcPr>
          <w:p>
            <w:pP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10.1</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10.2</w:t>
            </w:r>
          </w:p>
          <w:p>
            <w:pPr>
              <w:rPr>
                <w:rFonts w:hint="eastAsia" w:ascii="宋体" w:hAnsi="宋体" w:cs="宋体"/>
                <w:b w:val="0"/>
                <w:bCs w:val="0"/>
                <w:color w:val="auto"/>
                <w:sz w:val="21"/>
                <w:szCs w:val="21"/>
                <w:lang w:val="en-US" w:eastAsia="zh-CN"/>
              </w:rPr>
            </w:pPr>
          </w:p>
          <w:p>
            <w:pPr>
              <w:rPr>
                <w:rFonts w:hint="eastAsia" w:ascii="宋体" w:hAnsi="宋体" w:cs="宋体"/>
                <w:b w:val="0"/>
                <w:bCs w:val="0"/>
                <w:color w:val="auto"/>
                <w:sz w:val="21"/>
                <w:szCs w:val="21"/>
                <w:lang w:val="en-US" w:eastAsia="zh-CN"/>
              </w:rPr>
            </w:pPr>
          </w:p>
        </w:tc>
        <w:tc>
          <w:tcPr>
            <w:tcW w:w="10004" w:type="dxa"/>
            <w:vAlign w:val="top"/>
          </w:tcPr>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手册中规定了采取纠正措施的时机、对不合格或潜在不合格的原因进行分析、采取相应的对策措施等，所制定的纠正措施、预防措施程序中规定的要求满足标准要求。负责人介绍公司在运行过程中对发现的不合格都会采取纠正、纠正措施以防止不合格或不符合再次发生，同时也会举一反三，采取预防措施以防止发生不合格或不符合。</w:t>
            </w:r>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 xml:space="preserve">公司内审时发现的2项不符合项进行了原因分析、纠正措施和验证，公司对纠正及预防措施的管理基本符合要求、不符合关闭； </w:t>
            </w:r>
            <w:bookmarkStart w:id="0" w:name="_GoBack"/>
            <w:bookmarkEnd w:id="0"/>
          </w:p>
          <w:p>
            <w:pP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查组织近一年来未发生质量环境事件或事故。</w:t>
            </w:r>
          </w:p>
        </w:tc>
        <w:tc>
          <w:tcPr>
            <w:tcW w:w="1585" w:type="dxa"/>
            <w:vAlign w:val="top"/>
          </w:tcPr>
          <w:p>
            <w:pPr>
              <w:rPr>
                <w:rFonts w:hint="eastAsia" w:ascii="宋体" w:hAnsi="宋体" w:cs="宋体"/>
                <w:b w:val="0"/>
                <w:bCs w:val="0"/>
                <w:color w:val="auto"/>
                <w:sz w:val="21"/>
                <w:szCs w:val="21"/>
                <w:lang w:val="en-US" w:eastAsia="zh-CN"/>
              </w:rPr>
            </w:pPr>
          </w:p>
        </w:tc>
      </w:tr>
    </w:tbl>
    <w:p>
      <w:r>
        <w:ptab w:relativeTo="margin" w:alignment="center" w:leader="none"/>
      </w:r>
    </w:p>
    <w:p>
      <w:pPr>
        <w:pStyle w:val="7"/>
      </w:pPr>
      <w:r>
        <w:rPr>
          <w:rFonts w:hint="eastAsia"/>
        </w:rPr>
        <w:t>说明：不符合标注N</w:t>
      </w: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pict>
        <v:shape id="_x0000_s4097" o:spid="_x0000_s4097" o:spt="202" type="#_x0000_t202" style="position:absolute;left:0pt;margin-left:620.4pt;margin-top:12.55pt;height:20.2pt;width:102.7pt;z-index:251660288;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1C012"/>
    <w:multiLevelType w:val="singleLevel"/>
    <w:tmpl w:val="AAC1C01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15C3005"/>
    <w:rsid w:val="02705AC4"/>
    <w:rsid w:val="02CB258B"/>
    <w:rsid w:val="03D76CAF"/>
    <w:rsid w:val="03E41D05"/>
    <w:rsid w:val="04056E85"/>
    <w:rsid w:val="044D0365"/>
    <w:rsid w:val="045F01C0"/>
    <w:rsid w:val="04BF1309"/>
    <w:rsid w:val="04BF2F69"/>
    <w:rsid w:val="04C17514"/>
    <w:rsid w:val="056D4288"/>
    <w:rsid w:val="059371B7"/>
    <w:rsid w:val="05B65482"/>
    <w:rsid w:val="066C31EC"/>
    <w:rsid w:val="07BC0569"/>
    <w:rsid w:val="09BC3590"/>
    <w:rsid w:val="09EC3A0D"/>
    <w:rsid w:val="0A516C92"/>
    <w:rsid w:val="0A950215"/>
    <w:rsid w:val="0AD63B28"/>
    <w:rsid w:val="0AFD7CD3"/>
    <w:rsid w:val="0B2E4D2E"/>
    <w:rsid w:val="0BAF6508"/>
    <w:rsid w:val="0BB76CB1"/>
    <w:rsid w:val="0E5F5601"/>
    <w:rsid w:val="0ED87B3E"/>
    <w:rsid w:val="0F8A73CF"/>
    <w:rsid w:val="0FA445F8"/>
    <w:rsid w:val="11077889"/>
    <w:rsid w:val="11AA09BD"/>
    <w:rsid w:val="11CE52DD"/>
    <w:rsid w:val="12384332"/>
    <w:rsid w:val="13CC5EF9"/>
    <w:rsid w:val="153065CD"/>
    <w:rsid w:val="15DD71C7"/>
    <w:rsid w:val="16732B50"/>
    <w:rsid w:val="16DB5C44"/>
    <w:rsid w:val="172D78D6"/>
    <w:rsid w:val="174C7A9C"/>
    <w:rsid w:val="17DA7C79"/>
    <w:rsid w:val="18810648"/>
    <w:rsid w:val="188F4A7A"/>
    <w:rsid w:val="18E70CC3"/>
    <w:rsid w:val="19AD2979"/>
    <w:rsid w:val="19DC7303"/>
    <w:rsid w:val="1A9D2336"/>
    <w:rsid w:val="1AB138A9"/>
    <w:rsid w:val="1B552E08"/>
    <w:rsid w:val="1B715A36"/>
    <w:rsid w:val="1B922A81"/>
    <w:rsid w:val="1BCC3CB3"/>
    <w:rsid w:val="1C66736E"/>
    <w:rsid w:val="1C8353EF"/>
    <w:rsid w:val="1E1F2803"/>
    <w:rsid w:val="1F2730DD"/>
    <w:rsid w:val="1F590D2E"/>
    <w:rsid w:val="20F42899"/>
    <w:rsid w:val="219C47C1"/>
    <w:rsid w:val="22185C7D"/>
    <w:rsid w:val="229876B0"/>
    <w:rsid w:val="23101321"/>
    <w:rsid w:val="238E71D2"/>
    <w:rsid w:val="24F820FF"/>
    <w:rsid w:val="25714709"/>
    <w:rsid w:val="25B961DA"/>
    <w:rsid w:val="25F75626"/>
    <w:rsid w:val="277D4F16"/>
    <w:rsid w:val="27FD3C90"/>
    <w:rsid w:val="29BF720C"/>
    <w:rsid w:val="29FB4917"/>
    <w:rsid w:val="2A27302D"/>
    <w:rsid w:val="2A293019"/>
    <w:rsid w:val="2A4E0554"/>
    <w:rsid w:val="2ABA593A"/>
    <w:rsid w:val="2C127DE8"/>
    <w:rsid w:val="2D513729"/>
    <w:rsid w:val="2D7B57B5"/>
    <w:rsid w:val="2FD06396"/>
    <w:rsid w:val="30426AB6"/>
    <w:rsid w:val="30B67289"/>
    <w:rsid w:val="35742F4D"/>
    <w:rsid w:val="36B91A5F"/>
    <w:rsid w:val="36D34F4F"/>
    <w:rsid w:val="371375C7"/>
    <w:rsid w:val="378D0C5A"/>
    <w:rsid w:val="37CA2D73"/>
    <w:rsid w:val="39847C7A"/>
    <w:rsid w:val="3A557979"/>
    <w:rsid w:val="3A660128"/>
    <w:rsid w:val="3A677831"/>
    <w:rsid w:val="3A83028F"/>
    <w:rsid w:val="3AE4509E"/>
    <w:rsid w:val="3E3562A0"/>
    <w:rsid w:val="3E402718"/>
    <w:rsid w:val="3E413B6C"/>
    <w:rsid w:val="3EBB359C"/>
    <w:rsid w:val="3ED00D28"/>
    <w:rsid w:val="40044920"/>
    <w:rsid w:val="40BD0ADB"/>
    <w:rsid w:val="41854055"/>
    <w:rsid w:val="41944A4C"/>
    <w:rsid w:val="41EE75B7"/>
    <w:rsid w:val="425F59D6"/>
    <w:rsid w:val="42FE3914"/>
    <w:rsid w:val="43A85C01"/>
    <w:rsid w:val="45544A2D"/>
    <w:rsid w:val="47EC774F"/>
    <w:rsid w:val="488A730B"/>
    <w:rsid w:val="48AB3B1B"/>
    <w:rsid w:val="49033EEB"/>
    <w:rsid w:val="492A52D4"/>
    <w:rsid w:val="4A043CD5"/>
    <w:rsid w:val="4A5F439F"/>
    <w:rsid w:val="4A755927"/>
    <w:rsid w:val="4B3F0BE0"/>
    <w:rsid w:val="4B9E0705"/>
    <w:rsid w:val="4D067A72"/>
    <w:rsid w:val="4D29719D"/>
    <w:rsid w:val="4FCF4841"/>
    <w:rsid w:val="50162AF2"/>
    <w:rsid w:val="517A3471"/>
    <w:rsid w:val="54644C45"/>
    <w:rsid w:val="555F2744"/>
    <w:rsid w:val="56A71FFC"/>
    <w:rsid w:val="570B45BB"/>
    <w:rsid w:val="57231FCC"/>
    <w:rsid w:val="572B2278"/>
    <w:rsid w:val="58823BD0"/>
    <w:rsid w:val="59430601"/>
    <w:rsid w:val="59865D27"/>
    <w:rsid w:val="59A27767"/>
    <w:rsid w:val="5A7B5C25"/>
    <w:rsid w:val="5BAE5602"/>
    <w:rsid w:val="5BDF3860"/>
    <w:rsid w:val="5D101419"/>
    <w:rsid w:val="5DD60FFD"/>
    <w:rsid w:val="5E0B5089"/>
    <w:rsid w:val="5E374824"/>
    <w:rsid w:val="5E461A39"/>
    <w:rsid w:val="5F6C7545"/>
    <w:rsid w:val="5FA910CA"/>
    <w:rsid w:val="5FBD3842"/>
    <w:rsid w:val="60BA17D6"/>
    <w:rsid w:val="63087422"/>
    <w:rsid w:val="63D81DE8"/>
    <w:rsid w:val="645375B2"/>
    <w:rsid w:val="64AC6CB5"/>
    <w:rsid w:val="64BB3F84"/>
    <w:rsid w:val="64D07EC8"/>
    <w:rsid w:val="65114BAC"/>
    <w:rsid w:val="657A30DF"/>
    <w:rsid w:val="65B1579F"/>
    <w:rsid w:val="661666E1"/>
    <w:rsid w:val="6677168B"/>
    <w:rsid w:val="6685344C"/>
    <w:rsid w:val="66C176B4"/>
    <w:rsid w:val="675D50B4"/>
    <w:rsid w:val="677B72F7"/>
    <w:rsid w:val="67F25DE4"/>
    <w:rsid w:val="6B6240F0"/>
    <w:rsid w:val="6C9229DD"/>
    <w:rsid w:val="6E367514"/>
    <w:rsid w:val="6FBF55F2"/>
    <w:rsid w:val="70F41E38"/>
    <w:rsid w:val="710859BA"/>
    <w:rsid w:val="71CE2C2C"/>
    <w:rsid w:val="72057436"/>
    <w:rsid w:val="72057570"/>
    <w:rsid w:val="731952BB"/>
    <w:rsid w:val="7369527F"/>
    <w:rsid w:val="73E26097"/>
    <w:rsid w:val="742658AA"/>
    <w:rsid w:val="776A5738"/>
    <w:rsid w:val="77A84642"/>
    <w:rsid w:val="782100DC"/>
    <w:rsid w:val="7A992FC7"/>
    <w:rsid w:val="7B01640E"/>
    <w:rsid w:val="7D1B1D20"/>
    <w:rsid w:val="7DA92B5F"/>
    <w:rsid w:val="7E2830CD"/>
    <w:rsid w:val="7EBA6897"/>
    <w:rsid w:val="7EEB45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Plain Text"/>
    <w:basedOn w:val="1"/>
    <w:qFormat/>
    <w:uiPriority w:val="0"/>
    <w:rPr>
      <w:rFonts w:ascii="宋体" w:hAnsi="Courier New" w:cs="Courier New"/>
      <w:szCs w:val="21"/>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w:basedOn w:val="2"/>
    <w:unhideWhenUsed/>
    <w:qFormat/>
    <w:uiPriority w:val="99"/>
    <w:pPr>
      <w:ind w:firstLine="420" w:firstLineChars="100"/>
    </w:pPr>
  </w:style>
  <w:style w:type="character" w:customStyle="1" w:styleId="12">
    <w:name w:val="页眉 字符"/>
    <w:basedOn w:val="11"/>
    <w:link w:val="8"/>
    <w:qFormat/>
    <w:uiPriority w:val="99"/>
    <w:rPr>
      <w:rFonts w:ascii="Times New Roman" w:hAnsi="Times New Roman" w:eastAsia="宋体" w:cs="Times New Roman"/>
      <w:sz w:val="18"/>
      <w:szCs w:val="18"/>
    </w:rPr>
  </w:style>
  <w:style w:type="character" w:customStyle="1" w:styleId="13">
    <w:name w:val="页脚 字符"/>
    <w:basedOn w:val="11"/>
    <w:link w:val="7"/>
    <w:qFormat/>
    <w:uiPriority w:val="99"/>
    <w:rPr>
      <w:rFonts w:ascii="Times New Roman" w:hAnsi="Times New Roman" w:eastAsia="宋体" w:cs="Times New Roman"/>
      <w:sz w:val="18"/>
      <w:szCs w:val="18"/>
    </w:rPr>
  </w:style>
  <w:style w:type="character" w:customStyle="1" w:styleId="14">
    <w:name w:val="批注框文本 字符"/>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65</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LIL</cp:lastModifiedBy>
  <dcterms:modified xsi:type="dcterms:W3CDTF">2021-09-14T16:10:26Z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