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接待投诉办公室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 xml:space="preserve">王忠伟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val="en-US" w:eastAsia="zh-CN"/>
              </w:rPr>
              <w:t>郑莹玉</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郭力           审核时间：2021.9.2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lang w:val="en-US" w:eastAsia="zh-CN"/>
              </w:rPr>
            </w:pPr>
            <w:r>
              <w:rPr>
                <w:rFonts w:hint="eastAsia"/>
                <w:lang w:val="en-US" w:eastAsia="zh-CN"/>
              </w:rPr>
              <w:t>审核条款：</w:t>
            </w:r>
            <w:r>
              <w:rPr>
                <w:rFonts w:hint="default"/>
                <w:lang w:eastAsia="zh-CN"/>
              </w:rPr>
              <w:t>QMS</w:t>
            </w:r>
            <w:r>
              <w:rPr>
                <w:rFonts w:hint="eastAsia"/>
                <w:lang w:eastAsia="zh-CN"/>
              </w:rPr>
              <w:t>：</w:t>
            </w:r>
            <w:r>
              <w:rPr>
                <w:rFonts w:hint="eastAsia"/>
                <w:lang w:val="en-US" w:eastAsia="zh-CN"/>
              </w:rPr>
              <w:t xml:space="preserve">5.3、6.2、8.5.5     </w:t>
            </w:r>
            <w:r>
              <w:rPr>
                <w:rFonts w:hint="eastAsia"/>
                <w:lang w:eastAsia="zh-CN"/>
              </w:rPr>
              <w:t>EMS：</w:t>
            </w:r>
            <w:r>
              <w:rPr>
                <w:rFonts w:hint="default"/>
                <w:lang w:val="en-US" w:eastAsia="zh-CN"/>
              </w:rPr>
              <w:t>5.3</w:t>
            </w:r>
            <w:r>
              <w:rPr>
                <w:rFonts w:hint="eastAsia"/>
                <w:lang w:val="en-US" w:eastAsia="zh-CN"/>
              </w:rPr>
              <w:t>、</w:t>
            </w:r>
            <w:r>
              <w:rPr>
                <w:rFonts w:hint="default"/>
                <w:lang w:val="en-US" w:eastAsia="zh-CN"/>
              </w:rPr>
              <w:t>6.2</w:t>
            </w:r>
            <w:r>
              <w:rPr>
                <w:rFonts w:hint="eastAsia"/>
                <w:lang w:val="en-US" w:eastAsia="zh-CN"/>
              </w:rPr>
              <w:t>、</w:t>
            </w:r>
            <w:r>
              <w:rPr>
                <w:rFonts w:hint="default"/>
                <w:lang w:val="en-US" w:eastAsia="zh-CN"/>
              </w:rPr>
              <w:t>6.1.2</w:t>
            </w:r>
            <w:r>
              <w:rPr>
                <w:rFonts w:hint="eastAsia"/>
                <w:lang w:val="en-US" w:eastAsia="zh-CN"/>
              </w:rPr>
              <w:t>、</w:t>
            </w:r>
            <w:r>
              <w:rPr>
                <w:rFonts w:hint="default"/>
                <w:lang w:val="en-US" w:eastAsia="zh-CN"/>
              </w:rPr>
              <w:t>8.1</w:t>
            </w:r>
            <w:r>
              <w:rPr>
                <w:rFonts w:hint="eastAsia"/>
                <w:lang w:val="en-US" w:eastAsia="zh-CN"/>
              </w:rPr>
              <w:t>、</w:t>
            </w:r>
            <w:r>
              <w:rPr>
                <w:rFonts w:hint="default"/>
                <w:lang w:val="en-US" w:eastAsia="zh-CN"/>
              </w:rPr>
              <w:t>8.2</w:t>
            </w:r>
          </w:p>
          <w:p>
            <w:pPr>
              <w:pStyle w:val="2"/>
            </w:pPr>
            <w:r>
              <w:rPr>
                <w:rFonts w:hint="default" w:ascii="Times New Roman" w:hAnsi="Times New Roman" w:eastAsia="宋体" w:cs="Times New Roman"/>
                <w:color w:val="auto"/>
                <w:sz w:val="21"/>
                <w:szCs w:val="21"/>
              </w:rPr>
              <w:t>组织的岗位、职责权限；目标、方案；环境因素识别评价</w:t>
            </w:r>
            <w:r>
              <w:rPr>
                <w:rFonts w:hint="eastAsia" w:cs="Times New Roman"/>
                <w:color w:val="auto"/>
                <w:sz w:val="21"/>
                <w:szCs w:val="21"/>
                <w:lang w:eastAsia="zh-CN"/>
              </w:rPr>
              <w:t>；</w:t>
            </w:r>
            <w:r>
              <w:rPr>
                <w:rFonts w:hint="eastAsia" w:cs="Times New Roman"/>
                <w:color w:val="auto"/>
                <w:sz w:val="21"/>
                <w:szCs w:val="21"/>
                <w:lang w:val="en-US" w:eastAsia="zh-CN"/>
              </w:rPr>
              <w:t>交付后的活动</w:t>
            </w:r>
            <w:r>
              <w:rPr>
                <w:rFonts w:hint="default" w:ascii="Times New Roman" w:hAnsi="Times New Roman" w:eastAsia="宋体" w:cs="Times New Roman"/>
                <w:color w:val="auto"/>
                <w:sz w:val="21"/>
                <w:szCs w:val="21"/>
              </w:rPr>
              <w:t>；运行控制；应急准备和响应</w:t>
            </w:r>
            <w:r>
              <w:rPr>
                <w:rFonts w:hint="eastAsia" w:ascii="Times New Roman" w:hAnsi="Times New Roman" w:cs="Times New Roman"/>
                <w:color w:val="auto"/>
                <w:sz w:val="21"/>
                <w:szCs w:val="21"/>
                <w:lang w:eastAsia="zh-CN"/>
              </w:rPr>
              <w:t>；</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组织的岗位、职责和权限</w:t>
            </w:r>
          </w:p>
          <w:p>
            <w:pPr>
              <w:jc w:val="left"/>
              <w:rPr>
                <w:rFonts w:hint="eastAsia" w:ascii="宋体" w:hAnsi="宋体" w:eastAsia="宋体" w:cs="宋体"/>
                <w:color w:val="auto"/>
                <w:sz w:val="21"/>
                <w:szCs w:val="21"/>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5.3 </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人</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员和岗位设</w:t>
            </w:r>
            <w:r>
              <w:rPr>
                <w:rFonts w:hint="eastAsia" w:ascii="宋体" w:hAnsi="宋体" w:eastAsia="宋体" w:cs="宋体"/>
                <w:b w:val="0"/>
                <w:bCs w:val="0"/>
                <w:color w:val="000000" w:themeColor="text1"/>
                <w:sz w:val="21"/>
                <w:szCs w:val="21"/>
                <w:lang w:val="en-US" w:eastAsia="zh-CN"/>
                <w14:textFill>
                  <w14:solidFill>
                    <w14:schemeClr w14:val="tx1"/>
                  </w14:solidFill>
                </w14:textFill>
              </w:rPr>
              <w:t>置：</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部门共18人、其中</w:t>
            </w:r>
            <w:r>
              <w:rPr>
                <w:rFonts w:hint="eastAsia" w:ascii="宋体" w:hAnsi="宋体" w:cs="宋体"/>
                <w:b w:val="0"/>
                <w:bCs w:val="0"/>
                <w:color w:val="000000" w:themeColor="text1"/>
                <w:sz w:val="21"/>
                <w:szCs w:val="21"/>
                <w:lang w:val="en-US" w:eastAsia="zh-CN"/>
                <w14:textFill>
                  <w14:solidFill>
                    <w14:schemeClr w14:val="tx1"/>
                  </w14:solidFill>
                </w14:textFill>
              </w:rPr>
              <w:t>正副</w:t>
            </w:r>
            <w:r>
              <w:rPr>
                <w:rFonts w:hint="eastAsia" w:ascii="宋体" w:hAnsi="宋体" w:eastAsia="宋体" w:cs="宋体"/>
                <w:b w:val="0"/>
                <w:bCs w:val="0"/>
                <w:color w:val="000000" w:themeColor="text1"/>
                <w:sz w:val="21"/>
                <w:szCs w:val="21"/>
                <w:lang w:val="en-US" w:eastAsia="zh-CN"/>
                <w14:textFill>
                  <w14:solidFill>
                    <w14:schemeClr w14:val="tx1"/>
                  </w14:solidFill>
                </w14:textFill>
              </w:rPr>
              <w:t>主管</w:t>
            </w:r>
            <w:r>
              <w:rPr>
                <w:rFonts w:hint="eastAsia" w:ascii="宋体" w:hAnsi="宋体" w:cs="宋体"/>
                <w:b w:val="0"/>
                <w:bCs w:val="0"/>
                <w:color w:val="000000" w:themeColor="text1"/>
                <w:sz w:val="21"/>
                <w:szCs w:val="21"/>
                <w:lang w:val="en-US" w:eastAsia="zh-CN"/>
                <w14:textFill>
                  <w14:solidFill>
                    <w14:schemeClr w14:val="tx1"/>
                  </w14:solidFill>
                </w14:textFill>
              </w:rPr>
              <w:t>各</w:t>
            </w:r>
            <w:r>
              <w:rPr>
                <w:rFonts w:hint="eastAsia" w:ascii="宋体" w:hAnsi="宋体" w:eastAsia="宋体" w:cs="宋体"/>
                <w:b w:val="0"/>
                <w:bCs w:val="0"/>
                <w:color w:val="000000" w:themeColor="text1"/>
                <w:sz w:val="21"/>
                <w:szCs w:val="21"/>
                <w:lang w:val="en-US" w:eastAsia="zh-CN"/>
                <w14:textFill>
                  <w14:solidFill>
                    <w14:schemeClr w14:val="tx1"/>
                  </w14:solidFill>
                </w14:textFill>
              </w:rPr>
              <w:t>1名、其他客服人员；</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主要</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工作职责和权</w:t>
            </w:r>
            <w:r>
              <w:rPr>
                <w:rFonts w:hint="eastAsia" w:ascii="宋体" w:hAnsi="宋体" w:eastAsia="宋体" w:cs="宋体"/>
                <w:b w:val="0"/>
                <w:bCs w:val="0"/>
                <w:color w:val="000000" w:themeColor="text1"/>
                <w:sz w:val="21"/>
                <w:szCs w:val="21"/>
                <w:lang w:val="en-US" w:eastAsia="zh-CN"/>
                <w14:textFill>
                  <w14:solidFill>
                    <w14:schemeClr w14:val="tx1"/>
                  </w14:solidFill>
                </w14:textFill>
              </w:rPr>
              <w:t>限：</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市场调研的策划与实施：包括市场环境调查、消费者心理行为调查，销售渠道调查、竞争对手调查、医疗调查、营销模式调查等通过市场调研，进行市场分析，对医疗定位与定价提供建议，并对市场及消费趋势进行预测，对医院新医疗开发提供市场资料，同时主持签订相关合同（协议）和评审客户的协议.营销目标的指引下，进行营销策划和品牌推广的策划，包括宣传、公关、渠道、会议等活动的策划与实施建立竞争对手信息库，对竞争对手进行分析与监控制订并实施本部门的质量环境和关键绩效指标，以确保营销客服部的所有活动符合目标要求；</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E</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职责和权</w:t>
            </w:r>
            <w:r>
              <w:rPr>
                <w:rFonts w:hint="eastAsia" w:ascii="宋体" w:hAnsi="宋体" w:eastAsia="宋体" w:cs="宋体"/>
                <w:b w:val="0"/>
                <w:bCs w:val="0"/>
                <w:color w:val="000000" w:themeColor="text1"/>
                <w:sz w:val="21"/>
                <w:szCs w:val="21"/>
                <w:lang w:val="en-US" w:eastAsia="zh-CN"/>
                <w14:textFill>
                  <w14:solidFill>
                    <w14:schemeClr w14:val="tx1"/>
                  </w14:solidFill>
                </w14:textFill>
              </w:rPr>
              <w:t>限：</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按照公司环境和职业健康安全要求操作、参与危险源辨识和风险评价及环境因素评价、负责日常环境和安全检查、本部门的环境和安全的培训和教育宣传、不符合的调查和原因分析和纠正及纠正措施和预防措施的实施检查； </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设置环境安</w:t>
            </w:r>
            <w:r>
              <w:rPr>
                <w:rFonts w:hint="eastAsia" w:ascii="宋体" w:hAnsi="宋体" w:eastAsia="宋体" w:cs="宋体"/>
                <w:b w:val="0"/>
                <w:bCs w:val="0"/>
                <w:color w:val="000000" w:themeColor="text1"/>
                <w:sz w:val="21"/>
                <w:szCs w:val="21"/>
                <w:lang w:val="en-US" w:eastAsia="zh-CN"/>
                <w14:textFill>
                  <w14:solidFill>
                    <w14:schemeClr w14:val="tx1"/>
                  </w14:solidFill>
                </w14:textFill>
              </w:rPr>
              <w:t>全员、日常环安检查由院办统一管理；</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spacing w:line="360" w:lineRule="auto"/>
              <w:rPr>
                <w:rFonts w:hint="eastAsia" w:ascii="宋体" w:hAnsi="宋体" w:eastAsia="宋体" w:cs="宋体"/>
                <w:color w:val="000000"/>
                <w:sz w:val="21"/>
                <w:szCs w:val="21"/>
                <w:highlight w:val="none"/>
                <w:lang w:val="en-US" w:eastAsia="zh-CN"/>
              </w:rPr>
            </w:pPr>
            <w:r>
              <w:rPr>
                <w:rFonts w:hint="eastAsia"/>
                <w:szCs w:val="22"/>
                <w:lang w:val="en-US" w:eastAsia="zh-CN"/>
              </w:rPr>
              <w:t>环境因素</w:t>
            </w:r>
          </w:p>
        </w:tc>
        <w:tc>
          <w:tcPr>
            <w:tcW w:w="960" w:type="dxa"/>
            <w:vAlign w:val="center"/>
          </w:tcPr>
          <w:p>
            <w:pPr>
              <w:spacing w:line="360" w:lineRule="auto"/>
              <w:rPr>
                <w:rFonts w:hint="eastAsia" w:ascii="宋体" w:hAnsi="宋体" w:cs="宋体"/>
                <w:b w:val="0"/>
                <w:bCs w:val="0"/>
                <w:color w:val="auto"/>
                <w:sz w:val="21"/>
                <w:szCs w:val="21"/>
                <w:lang w:val="en-US" w:eastAsia="zh-CN"/>
              </w:rPr>
            </w:pPr>
            <w:r>
              <w:rPr>
                <w:rFonts w:hint="eastAsia"/>
                <w:szCs w:val="22"/>
                <w:lang w:val="en-US" w:eastAsia="zh-CN"/>
              </w:rPr>
              <w:t>E6.1.2</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szCs w:val="22"/>
                <w:lang w:val="en-US" w:eastAsia="zh-CN"/>
              </w:rPr>
            </w:pPr>
            <w:r>
              <w:rPr>
                <w:rFonts w:hint="eastAsia"/>
                <w:szCs w:val="22"/>
                <w:lang w:val="en-US" w:eastAsia="zh-CN"/>
              </w:rPr>
              <w:t>策划、编制了《环境因素辨别和评价控制程序》，经文审符合标准要求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szCs w:val="22"/>
                <w:lang w:val="en-US" w:eastAsia="zh-CN"/>
              </w:rPr>
              <w:t>由综合办公室组织进行了环境因素识别评价。本部门评价的重要环境因素：生活和医疗服务提供过程固体废弃物的排放；潜在火灾。评价准确。</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质量目标及其实现的策划</w:t>
            </w:r>
          </w:p>
        </w:tc>
        <w:tc>
          <w:tcPr>
            <w:tcW w:w="9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QE6.2 </w:t>
            </w:r>
          </w:p>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 </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部门的质量、环境目标及完成情况为：</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接待投诉办公室：目标          完成情况</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客户投诉及时受理率100%         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 xml:space="preserve">固体废弃物有效处理率100%    </w:t>
            </w:r>
            <w:r>
              <w:rPr>
                <w:rFonts w:hint="eastAsia"/>
                <w:lang w:val="en-US" w:eastAsia="zh-CN"/>
              </w:rPr>
              <w:tab/>
            </w:r>
            <w:r>
              <w:rPr>
                <w:rFonts w:hint="eastAsia"/>
                <w:lang w:val="en-US" w:eastAsia="zh-CN"/>
              </w:rPr>
              <w:t>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 xml:space="preserve">文件受控率100%  </w:t>
            </w:r>
            <w:r>
              <w:rPr>
                <w:rFonts w:hint="eastAsia"/>
                <w:lang w:val="en-US" w:eastAsia="zh-CN"/>
              </w:rPr>
              <w:tab/>
            </w:r>
            <w:r>
              <w:rPr>
                <w:rFonts w:hint="eastAsia"/>
                <w:lang w:val="en-US" w:eastAsia="zh-CN"/>
              </w:rPr>
              <w:t xml:space="preserve">            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火灾事故发生率0次/年              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lang w:val="en-US" w:eastAsia="zh-CN"/>
              </w:rPr>
              <w:t>考核日期：2021年9月1日       考核人：符孝勇</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宋体"/>
                <w:b w:val="0"/>
                <w:bCs w:val="0"/>
                <w:color w:val="auto"/>
                <w:sz w:val="21"/>
                <w:szCs w:val="21"/>
                <w:lang w:val="en-US" w:eastAsia="zh-CN"/>
              </w:rPr>
            </w:pPr>
            <w:r>
              <w:rPr>
                <w:rFonts w:hint="eastAsia" w:cs="Times New Roman"/>
                <w:color w:val="auto"/>
                <w:sz w:val="21"/>
                <w:szCs w:val="21"/>
                <w:lang w:val="en-US" w:eastAsia="zh-CN"/>
              </w:rPr>
              <w:t>交付后的活动</w:t>
            </w:r>
          </w:p>
        </w:tc>
        <w:tc>
          <w:tcPr>
            <w:tcW w:w="960" w:type="dxa"/>
            <w:vAlign w:val="top"/>
          </w:tcPr>
          <w:p>
            <w:pP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Q8.5.5</w:t>
            </w:r>
          </w:p>
        </w:tc>
        <w:tc>
          <w:tcPr>
            <w:tcW w:w="10004" w:type="dxa"/>
            <w:vAlign w:val="center"/>
          </w:tcPr>
          <w:p>
            <w:pPr>
              <w:rPr>
                <w:rFonts w:hint="default"/>
                <w:sz w:val="21"/>
                <w:szCs w:val="21"/>
                <w:u w:val="none"/>
                <w:lang w:val="en-US" w:eastAsia="zh-CN"/>
              </w:rPr>
            </w:pPr>
            <w:r>
              <w:rPr>
                <w:rFonts w:hint="default"/>
                <w:sz w:val="21"/>
                <w:szCs w:val="21"/>
                <w:u w:val="none"/>
                <w:lang w:val="en-US" w:eastAsia="zh-CN"/>
              </w:rPr>
              <w:t>如</w:t>
            </w:r>
            <w:r>
              <w:rPr>
                <w:rFonts w:hint="eastAsia"/>
                <w:sz w:val="21"/>
                <w:szCs w:val="21"/>
                <w:u w:val="none"/>
                <w:lang w:val="en-US" w:eastAsia="zh-CN"/>
              </w:rPr>
              <w:t>患者</w:t>
            </w:r>
            <w:r>
              <w:rPr>
                <w:rFonts w:hint="default"/>
                <w:sz w:val="21"/>
                <w:szCs w:val="21"/>
                <w:u w:val="none"/>
                <w:lang w:val="en-US" w:eastAsia="zh-CN"/>
              </w:rPr>
              <w:t>在</w:t>
            </w:r>
            <w:r>
              <w:rPr>
                <w:rFonts w:hint="eastAsia"/>
                <w:sz w:val="21"/>
                <w:szCs w:val="21"/>
                <w:u w:val="none"/>
                <w:lang w:val="en-US" w:eastAsia="zh-CN"/>
              </w:rPr>
              <w:t>治疗和康复</w:t>
            </w:r>
            <w:r>
              <w:rPr>
                <w:rFonts w:hint="default"/>
                <w:sz w:val="21"/>
                <w:szCs w:val="21"/>
                <w:u w:val="none"/>
                <w:lang w:val="en-US" w:eastAsia="zh-CN"/>
              </w:rPr>
              <w:t>过程中出现问题，先通过电话等方式进行解决，</w:t>
            </w:r>
            <w:r>
              <w:rPr>
                <w:rFonts w:hint="eastAsia"/>
                <w:sz w:val="21"/>
                <w:szCs w:val="21"/>
                <w:u w:val="none"/>
                <w:lang w:val="en-US" w:eastAsia="zh-CN"/>
              </w:rPr>
              <w:t>并定期</w:t>
            </w:r>
            <w:r>
              <w:rPr>
                <w:rFonts w:hint="default"/>
                <w:sz w:val="21"/>
                <w:szCs w:val="21"/>
                <w:u w:val="none"/>
                <w:lang w:val="en-US" w:eastAsia="zh-CN"/>
              </w:rPr>
              <w:t>电话</w:t>
            </w:r>
            <w:r>
              <w:rPr>
                <w:rFonts w:hint="eastAsia"/>
                <w:sz w:val="21"/>
                <w:szCs w:val="21"/>
                <w:u w:val="none"/>
                <w:lang w:val="en-US" w:eastAsia="zh-CN"/>
              </w:rPr>
              <w:t>回访，</w:t>
            </w:r>
            <w:r>
              <w:rPr>
                <w:rFonts w:hint="default"/>
                <w:sz w:val="21"/>
                <w:szCs w:val="21"/>
                <w:u w:val="none"/>
                <w:lang w:val="en-US" w:eastAsia="zh-CN"/>
              </w:rPr>
              <w:t>如远程无法解决，派专人到</w:t>
            </w:r>
            <w:r>
              <w:rPr>
                <w:rFonts w:hint="eastAsia"/>
                <w:sz w:val="21"/>
                <w:szCs w:val="21"/>
                <w:u w:val="none"/>
                <w:lang w:val="en-US" w:eastAsia="zh-CN"/>
              </w:rPr>
              <w:t>患者</w:t>
            </w:r>
            <w:r>
              <w:rPr>
                <w:rFonts w:hint="default"/>
                <w:sz w:val="21"/>
                <w:szCs w:val="21"/>
                <w:u w:val="none"/>
                <w:lang w:val="en-US" w:eastAsia="zh-CN"/>
              </w:rPr>
              <w:t>现场实地解决。</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运行策划和控制</w:t>
            </w:r>
          </w:p>
          <w:p>
            <w:pPr>
              <w:rPr>
                <w:rFonts w:hint="eastAsia" w:ascii="宋体" w:hAnsi="宋体" w:cs="宋体"/>
                <w:color w:val="000000"/>
                <w:sz w:val="21"/>
                <w:szCs w:val="21"/>
                <w:highlight w:val="none"/>
                <w:lang w:val="en-US" w:eastAsia="zh-CN"/>
              </w:rPr>
            </w:pPr>
          </w:p>
        </w:tc>
        <w:tc>
          <w:tcPr>
            <w:tcW w:w="960" w:type="dxa"/>
            <w:vAlign w:val="top"/>
          </w:tcPr>
          <w:p>
            <w:p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E8.1 </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管理者代表指导综合办公室组织相关部门对医疗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本部门的重要环境因素为重要环境因素：1、办公过程中产生的废弃物的排放；2潜在火灾。</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按公司要求人走关灯，办公室内电脑要求人走后电源切断。办公室内垃圾主要包含可回收垃圾、硒鼓、废纸。公司配置了垃圾箱，</w:t>
            </w:r>
            <w:r>
              <w:rPr>
                <w:rFonts w:hint="eastAsia" w:ascii="宋体" w:hAnsi="宋体"/>
                <w:szCs w:val="21"/>
                <w:lang w:val="en-US" w:eastAsia="zh-CN"/>
              </w:rPr>
              <w:t>后勤部</w:t>
            </w:r>
            <w:r>
              <w:rPr>
                <w:rFonts w:hint="eastAsia" w:ascii="宋体" w:hAnsi="宋体"/>
                <w:szCs w:val="21"/>
              </w:rPr>
              <w:t>统一处理。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生活污水排入市政污水管网。</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ascii="宋体" w:hAnsi="宋体"/>
                <w:szCs w:val="21"/>
                <w:lang w:val="en-US" w:eastAsia="zh-CN"/>
              </w:rPr>
              <w:t>办公区</w:t>
            </w:r>
            <w:r>
              <w:rPr>
                <w:rFonts w:hint="eastAsia" w:ascii="宋体" w:hAnsi="宋体"/>
                <w:szCs w:val="21"/>
              </w:rPr>
              <w:t>内主要是电的使用，电器有漏电保护器，经常对电路、电源进行检查，没有露电现象发生。现场巡视办公区域消防栓、灭火器正常，电线、电气插座完整，未见破损。</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lang w:val="en-US" w:eastAsia="zh-CN"/>
              </w:rPr>
              <w:t>运行策划和控制符合要求；</w:t>
            </w:r>
          </w:p>
        </w:tc>
        <w:tc>
          <w:tcPr>
            <w:tcW w:w="1585" w:type="dxa"/>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vAlign w:val="top"/>
          </w:tcPr>
          <w:p>
            <w:pPr>
              <w:spacing w:line="360" w:lineRule="auto"/>
              <w:rPr>
                <w:sz w:val="21"/>
                <w:szCs w:val="21"/>
              </w:rPr>
            </w:pPr>
            <w:r>
              <w:rPr>
                <w:rFonts w:hint="default"/>
                <w:color w:val="auto"/>
                <w:lang w:val="en-US" w:eastAsia="zh-CN"/>
              </w:rPr>
              <w:t>应急准备和响应</w:t>
            </w:r>
          </w:p>
        </w:tc>
        <w:tc>
          <w:tcPr>
            <w:tcW w:w="960" w:type="dxa"/>
            <w:vAlign w:val="top"/>
          </w:tcPr>
          <w:p>
            <w:pPr>
              <w:spacing w:line="360" w:lineRule="auto"/>
              <w:rPr>
                <w:rFonts w:hint="eastAsia" w:ascii="宋体" w:hAnsi="宋体" w:cs="宋体"/>
                <w:b w:val="0"/>
                <w:bCs w:val="0"/>
                <w:color w:val="auto"/>
                <w:sz w:val="21"/>
                <w:szCs w:val="21"/>
                <w:lang w:val="en-US" w:eastAsia="zh-CN"/>
              </w:rPr>
            </w:pPr>
            <w:r>
              <w:rPr>
                <w:rFonts w:hint="eastAsia"/>
                <w:color w:val="auto"/>
                <w:lang w:val="en-US" w:eastAsia="zh-CN"/>
              </w:rPr>
              <w:t>E8.2</w:t>
            </w:r>
          </w:p>
        </w:tc>
        <w:tc>
          <w:tcPr>
            <w:tcW w:w="10004" w:type="dxa"/>
            <w:vAlign w:val="top"/>
          </w:tcPr>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auto"/>
                <w:lang w:val="en-US" w:eastAsia="zh-CN"/>
              </w:rPr>
            </w:pPr>
            <w:bookmarkStart w:id="0" w:name="_GoBack"/>
            <w:r>
              <w:rPr>
                <w:rFonts w:hint="eastAsia"/>
                <w:color w:val="auto"/>
                <w:lang w:val="en-US" w:eastAsia="zh-CN"/>
              </w:rPr>
              <w:t>提供2021年8月1日发布的最新版《博鳌国际医院应急预案汇编》，包含环境相关的应急预案：突发水质污染事故应急预案、突发环境事件应急预案等，有组织人员结构、人员组成、通讯联络、应急物资准备、应急处置程序、注意事项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color w:val="auto"/>
                <w:lang w:val="en-US" w:eastAsia="zh-CN"/>
              </w:rPr>
            </w:pPr>
            <w:r>
              <w:rPr>
                <w:rFonts w:hint="eastAsia"/>
                <w:color w:val="auto"/>
                <w:lang w:val="en-US" w:eastAsia="zh-CN"/>
              </w:rPr>
              <w:t>提供</w:t>
            </w:r>
            <w:r>
              <w:rPr>
                <w:rFonts w:hint="eastAsia" w:ascii="Times New Roman" w:hAnsi="Times New Roman" w:eastAsia="宋体" w:cs="Times New Roman"/>
                <w:color w:val="auto"/>
                <w:lang w:val="en-US" w:eastAsia="zh-CN"/>
              </w:rPr>
              <w:t>《消防演习总结报告》，有演习项目：灭火、逃生自救，地点：运营部，时间：2020年12月11日。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auto"/>
                <w:lang w:val="en-US" w:eastAsia="zh-CN"/>
              </w:rPr>
            </w:pPr>
            <w:r>
              <w:rPr>
                <w:rFonts w:hint="eastAsia"/>
                <w:color w:val="auto"/>
                <w:lang w:val="en-US" w:eastAsia="zh-CN"/>
              </w:rPr>
              <w:t>有演练过程记录，演练存在的问题及整改措施等。有火灾应急响应演练评审，对演练中发现的问题要求整改。</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color w:val="auto"/>
                <w:lang w:val="en-US" w:eastAsia="zh-CN"/>
              </w:rPr>
            </w:pPr>
            <w:r>
              <w:rPr>
                <w:rFonts w:hint="eastAsia"/>
                <w:color w:val="auto"/>
                <w:lang w:val="en-US" w:eastAsia="zh-CN"/>
              </w:rPr>
              <w:t>提供</w:t>
            </w:r>
            <w:r>
              <w:rPr>
                <w:rFonts w:hint="eastAsia" w:ascii="Times New Roman" w:hAnsi="Times New Roman" w:eastAsia="宋体" w:cs="Times New Roman"/>
                <w:color w:val="auto"/>
                <w:lang w:val="en-US" w:eastAsia="zh-CN"/>
              </w:rPr>
              <w:t>《污水排放失控预案记录》，有演习项目：演练实施情况记录：时间：2021年1月8日-9日。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auto"/>
                <w:lang w:val="en-US" w:eastAsia="zh-CN"/>
              </w:rPr>
            </w:pPr>
            <w:r>
              <w:rPr>
                <w:rFonts w:hint="eastAsia" w:ascii="Times New Roman" w:hAnsi="Times New Roman" w:eastAsia="宋体" w:cs="Times New Roman"/>
                <w:color w:val="auto"/>
                <w:lang w:val="en-US" w:eastAsia="zh-CN"/>
              </w:rPr>
              <w:t>有演练过程记录，演练存在的问题及整改措施</w:t>
            </w:r>
            <w:r>
              <w:rPr>
                <w:rFonts w:hint="eastAsia"/>
                <w:color w:val="auto"/>
                <w:lang w:val="en-US" w:eastAsia="zh-CN"/>
              </w:rPr>
              <w:t>等。有火灾应急响应演练评审，对演练中发现的问题要求整改。</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b w:val="0"/>
                <w:bCs w:val="0"/>
                <w:color w:val="auto"/>
                <w:sz w:val="21"/>
                <w:szCs w:val="21"/>
                <w:lang w:val="en-US" w:eastAsia="zh-CN"/>
              </w:rPr>
            </w:pPr>
            <w:r>
              <w:rPr>
                <w:rFonts w:hint="eastAsia"/>
                <w:color w:val="auto"/>
                <w:lang w:val="en-US" w:eastAsia="zh-CN"/>
              </w:rPr>
              <w:t>医院在大楼各楼层配置了消防设施设备，包含：消防栓、灭火器、报警器、防火卷闸门、烟感系统，园区建设了地下消防用水，各项设施设备的均有日常检查，能够保持正常使用。</w:t>
            </w:r>
            <w:bookmarkEnd w:id="0"/>
          </w:p>
        </w:tc>
        <w:tc>
          <w:tcPr>
            <w:tcW w:w="1585" w:type="dxa"/>
            <w:vAlign w:val="top"/>
          </w:tcPr>
          <w:p>
            <w:pPr>
              <w:rPr>
                <w:sz w:val="21"/>
                <w:szCs w:val="21"/>
              </w:rPr>
            </w:pPr>
          </w:p>
        </w:tc>
      </w:tr>
    </w:tbl>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C3005"/>
    <w:rsid w:val="02705AC4"/>
    <w:rsid w:val="02CB258B"/>
    <w:rsid w:val="03D76CAF"/>
    <w:rsid w:val="04056E85"/>
    <w:rsid w:val="045F01C0"/>
    <w:rsid w:val="048D78E1"/>
    <w:rsid w:val="04BF1309"/>
    <w:rsid w:val="04C17514"/>
    <w:rsid w:val="059371B7"/>
    <w:rsid w:val="05DC4C53"/>
    <w:rsid w:val="06A65739"/>
    <w:rsid w:val="09BC3590"/>
    <w:rsid w:val="0A1F31E5"/>
    <w:rsid w:val="0A516C92"/>
    <w:rsid w:val="0A950215"/>
    <w:rsid w:val="0AC94CC8"/>
    <w:rsid w:val="0AFD7CD3"/>
    <w:rsid w:val="0BB76CB1"/>
    <w:rsid w:val="0BFC7ED7"/>
    <w:rsid w:val="0D8A65DC"/>
    <w:rsid w:val="0ED87B3E"/>
    <w:rsid w:val="0FA445F8"/>
    <w:rsid w:val="10493650"/>
    <w:rsid w:val="11F83C39"/>
    <w:rsid w:val="125A0A30"/>
    <w:rsid w:val="143A1E94"/>
    <w:rsid w:val="153065CD"/>
    <w:rsid w:val="15586625"/>
    <w:rsid w:val="16732B50"/>
    <w:rsid w:val="174C7A9C"/>
    <w:rsid w:val="17DA7C79"/>
    <w:rsid w:val="17EF3D89"/>
    <w:rsid w:val="18810648"/>
    <w:rsid w:val="18CB68F2"/>
    <w:rsid w:val="18EF45B2"/>
    <w:rsid w:val="1B022812"/>
    <w:rsid w:val="1B552E08"/>
    <w:rsid w:val="1C8353EF"/>
    <w:rsid w:val="1DAE2899"/>
    <w:rsid w:val="1DFB63E7"/>
    <w:rsid w:val="1F2730DD"/>
    <w:rsid w:val="1F590D2E"/>
    <w:rsid w:val="20F42899"/>
    <w:rsid w:val="219C47C1"/>
    <w:rsid w:val="23101321"/>
    <w:rsid w:val="2322691A"/>
    <w:rsid w:val="23686257"/>
    <w:rsid w:val="238E71D2"/>
    <w:rsid w:val="24F059E1"/>
    <w:rsid w:val="24F820FF"/>
    <w:rsid w:val="277D4F16"/>
    <w:rsid w:val="27FD3C90"/>
    <w:rsid w:val="28ED087F"/>
    <w:rsid w:val="2A293019"/>
    <w:rsid w:val="2A4E0554"/>
    <w:rsid w:val="2ADC07A7"/>
    <w:rsid w:val="2C03655D"/>
    <w:rsid w:val="2D7B57B5"/>
    <w:rsid w:val="2F18743F"/>
    <w:rsid w:val="2FA447E0"/>
    <w:rsid w:val="319B6A18"/>
    <w:rsid w:val="31F45781"/>
    <w:rsid w:val="33BE207D"/>
    <w:rsid w:val="33E3089B"/>
    <w:rsid w:val="35020072"/>
    <w:rsid w:val="36B91A5F"/>
    <w:rsid w:val="371375C7"/>
    <w:rsid w:val="3A660128"/>
    <w:rsid w:val="3A677831"/>
    <w:rsid w:val="3A83028F"/>
    <w:rsid w:val="3A9734F6"/>
    <w:rsid w:val="3AE4509E"/>
    <w:rsid w:val="3DDC2A13"/>
    <w:rsid w:val="3E402718"/>
    <w:rsid w:val="3E614581"/>
    <w:rsid w:val="3EBB359C"/>
    <w:rsid w:val="41854055"/>
    <w:rsid w:val="41944A4C"/>
    <w:rsid w:val="425F59D6"/>
    <w:rsid w:val="49033EEB"/>
    <w:rsid w:val="498160A6"/>
    <w:rsid w:val="4A5F439F"/>
    <w:rsid w:val="4A755927"/>
    <w:rsid w:val="4B9E0705"/>
    <w:rsid w:val="4D171CB5"/>
    <w:rsid w:val="4FCF4841"/>
    <w:rsid w:val="50162AF2"/>
    <w:rsid w:val="50AA5B1B"/>
    <w:rsid w:val="517A3471"/>
    <w:rsid w:val="5422016C"/>
    <w:rsid w:val="54263778"/>
    <w:rsid w:val="54644C45"/>
    <w:rsid w:val="555F2744"/>
    <w:rsid w:val="56546145"/>
    <w:rsid w:val="571D6075"/>
    <w:rsid w:val="58823BD0"/>
    <w:rsid w:val="59A27767"/>
    <w:rsid w:val="59C877AD"/>
    <w:rsid w:val="5A937B8A"/>
    <w:rsid w:val="5B5244F0"/>
    <w:rsid w:val="5B747BC6"/>
    <w:rsid w:val="5BDB01B3"/>
    <w:rsid w:val="5DD60FFD"/>
    <w:rsid w:val="5E524354"/>
    <w:rsid w:val="5E6546BE"/>
    <w:rsid w:val="5F6C7545"/>
    <w:rsid w:val="5FA910CA"/>
    <w:rsid w:val="61300A17"/>
    <w:rsid w:val="63087422"/>
    <w:rsid w:val="64410392"/>
    <w:rsid w:val="64BB3F84"/>
    <w:rsid w:val="64C42192"/>
    <w:rsid w:val="64D07EC8"/>
    <w:rsid w:val="657A30DF"/>
    <w:rsid w:val="65B1579F"/>
    <w:rsid w:val="661666E1"/>
    <w:rsid w:val="6685344C"/>
    <w:rsid w:val="674B7442"/>
    <w:rsid w:val="675D50B4"/>
    <w:rsid w:val="677B72F7"/>
    <w:rsid w:val="67C91BBF"/>
    <w:rsid w:val="67F25DE4"/>
    <w:rsid w:val="6B0D4FF2"/>
    <w:rsid w:val="6B6240F0"/>
    <w:rsid w:val="6E362AA3"/>
    <w:rsid w:val="6F3C3C16"/>
    <w:rsid w:val="6FAF2FDA"/>
    <w:rsid w:val="6FBF55F2"/>
    <w:rsid w:val="70F41E38"/>
    <w:rsid w:val="72057436"/>
    <w:rsid w:val="731952BB"/>
    <w:rsid w:val="73E26097"/>
    <w:rsid w:val="74E8411A"/>
    <w:rsid w:val="770D4D0B"/>
    <w:rsid w:val="786F39E2"/>
    <w:rsid w:val="79362BBA"/>
    <w:rsid w:val="7D1B1D20"/>
    <w:rsid w:val="7E0B2EF3"/>
    <w:rsid w:val="7E283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ind w:firstLine="420" w:firstLineChars="100"/>
    </w:p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2021-09-14T15:51:48Z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