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-866140</wp:posOffset>
            </wp:positionV>
            <wp:extent cx="7178040" cy="10581005"/>
            <wp:effectExtent l="0" t="0" r="10160" b="10795"/>
            <wp:wrapNone/>
            <wp:docPr id="2" name="图片 2" descr="扫描全能王 2021-04-12 22.01.2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12 22.01.29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1058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西安陆润石化工程有限公司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郑远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2020年12月8日从山西定襄腾达锻造有限公司采购管板，查《合格供方名录》无此公司，也未对该公司进行评价。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2021年04月08日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2021年04月08日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2021年04月08日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-925830</wp:posOffset>
            </wp:positionV>
            <wp:extent cx="7143115" cy="10344150"/>
            <wp:effectExtent l="0" t="0" r="6985" b="6350"/>
            <wp:wrapNone/>
            <wp:docPr id="3" name="图片 3" descr="扫描全能王 2021-04-12 22.01.2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12 22.01.29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2020年12月8日从山西定襄腾达锻造有限公司采购管板，查《合格供方名录》无此公司，也未对该公司进行评价。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组织购销部相关人员学习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并组织相关人员对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山西定襄腾达锻造有限公司进行评价。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购销部相关人员对标准理解不到位，未按标准要求对供应商进行评价。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组织购销部相关人员学习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组织相关人员对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山西定襄腾达锻造有限公司进行评价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对公司所有供应商进行整理建档，检查供应商评价情况，对未进行合格评价的供应商，组织公司相关部门人员进行评价并记录。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-917575</wp:posOffset>
            </wp:positionV>
            <wp:extent cx="6957695" cy="10255250"/>
            <wp:effectExtent l="0" t="0" r="1905" b="6350"/>
            <wp:wrapNone/>
            <wp:docPr id="4" name="图片 4" descr="扫描全能王 2021-04-12 22.01.2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12 22.01.29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7695" cy="1025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-719455</wp:posOffset>
            </wp:positionV>
            <wp:extent cx="7075170" cy="9725025"/>
            <wp:effectExtent l="0" t="0" r="11430" b="3175"/>
            <wp:wrapNone/>
            <wp:docPr id="5" name="图片 5" descr="扫描全能王 2021-04-12 22.01.29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12 22.01.29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FA31C"/>
    <w:multiLevelType w:val="singleLevel"/>
    <w:tmpl w:val="E29FA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D291D"/>
    <w:rsid w:val="23422DD1"/>
    <w:rsid w:val="27BD06F7"/>
    <w:rsid w:val="374479AB"/>
    <w:rsid w:val="4B856951"/>
    <w:rsid w:val="6B2F4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12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2021-04-13T18:20:37Z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54D8B9AC3A1D4500B91C35C6EE943778</vt:lpwstr>
  </property>
</Properties>
</file>