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襄阳华壁新型建材有限公司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ISO50001:2018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0277-2021-EnMS</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周涛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2018-N1EnMS-1072033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姜小清</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2018-N1EnMS-1201919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潘荣君</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ISC-JSZJ-208</w:t>
            </w:r>
          </w:p>
          <w:p>
            <w:pPr>
              <w:snapToGrid w:val="0"/>
              <w:spacing w:line="320" w:lineRule="exact"/>
              <w:ind w:left="1309"/>
              <w:rPr>
                <w:sz w:val="22"/>
                <w:szCs w:val="22"/>
                <w:highlight w:val="yellow"/>
              </w:rPr>
            </w:pPr>
            <w:r>
              <w:rPr>
                <w:sz w:val="22"/>
                <w:szCs w:val="22"/>
                <w:highlight w:val="yellow"/>
              </w:rPr>
              <w:t>洪湖市鼎固商砼有限公司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bookmarkStart w:id="4" w:name="_GoBack"/>
            <w:bookmarkEnd w:id="4"/>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9E02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2021-04-05T02:26:56Z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5B05B169D9024AB1946D9D87DCEB455D</vt:lpwstr>
  </property>
</Properties>
</file>