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0277-2021-EnMS</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襄阳华壁新型建材有限公司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hint="eastAsia"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lang w:val="en-US" w:eastAsia="zh-CN"/>
        </w:rPr>
        <w:t>能源</w:t>
      </w:r>
      <w:r>
        <w:rPr>
          <w:rFonts w:hint="eastAsia" w:ascii="楷体" w:hAnsi="楷体" w:eastAsia="楷体"/>
          <w:b/>
          <w:color w:val="000000"/>
          <w:sz w:val="32"/>
          <w:szCs w:val="32"/>
        </w:rPr>
        <w:t>管理体系（</w:t>
      </w:r>
      <w:r>
        <w:rPr>
          <w:rFonts w:ascii="楷体" w:hAnsi="楷体" w:eastAsia="楷体"/>
          <w:b/>
          <w:color w:val="000000"/>
          <w:sz w:val="32"/>
          <w:szCs w:val="32"/>
        </w:rPr>
        <w:t>E</w:t>
      </w:r>
      <w:r>
        <w:rPr>
          <w:rFonts w:hint="eastAsia" w:ascii="楷体" w:hAnsi="楷体" w:eastAsia="楷体"/>
          <w:b/>
          <w:color w:val="000000"/>
          <w:sz w:val="32"/>
          <w:szCs w:val="32"/>
          <w:lang w:val="en-US" w:eastAsia="zh-CN"/>
        </w:rPr>
        <w:t>n</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94" w:afterLines="30"/>
        <w:ind w:firstLine="2059" w:firstLineChars="641"/>
        <w:rPr>
          <w:rFonts w:hint="eastAsia" w:ascii="楷体" w:hAnsi="楷体" w:eastAsia="楷体"/>
          <w:b/>
          <w:color w:val="000000"/>
          <w:sz w:val="32"/>
          <w:szCs w:val="32"/>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姜小清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潘荣君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2.4</w:t>
            </w: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能源管理体系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default" w:ascii="宋体" w:eastAsia="宋体"/>
          <w:b/>
          <w:color w:val="000000"/>
          <w:sz w:val="20"/>
          <w:szCs w:val="20"/>
          <w:lang w:val="en-US" w:eastAsia="zh-CN"/>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w:t>
      </w:r>
      <w:r>
        <w:rPr>
          <w:rFonts w:hint="eastAsia" w:ascii="宋体" w:hAnsi="宋体"/>
          <w:b/>
          <w:color w:val="000000"/>
          <w:sz w:val="20"/>
          <w:szCs w:val="20"/>
          <w:lang w:val="en-US" w:eastAsia="zh-CN"/>
        </w:rPr>
        <w:t>333</w:t>
      </w:r>
      <w:r>
        <w:rPr>
          <w:rFonts w:ascii="宋体" w:hAnsi="宋体"/>
          <w:b/>
          <w:color w:val="000000"/>
          <w:sz w:val="20"/>
          <w:szCs w:val="20"/>
          <w:lang w:val="de-DE"/>
        </w:rPr>
        <w:t>1-20</w:t>
      </w:r>
      <w:r>
        <w:rPr>
          <w:rFonts w:hint="eastAsia" w:ascii="宋体" w:hAnsi="宋体"/>
          <w:b/>
          <w:color w:val="000000"/>
          <w:sz w:val="20"/>
          <w:szCs w:val="20"/>
          <w:lang w:val="en-US" w:eastAsia="zh-CN"/>
        </w:rPr>
        <w:t>20/ISO50001-2018</w:t>
      </w:r>
    </w:p>
    <w:p>
      <w:pPr>
        <w:spacing w:line="300" w:lineRule="auto"/>
        <w:ind w:left="420" w:leftChars="200"/>
        <w:rPr>
          <w:rFonts w:ascii="宋体"/>
          <w:b/>
          <w:color w:val="000000"/>
          <w:spacing w:val="-4"/>
          <w:sz w:val="20"/>
          <w:szCs w:val="20"/>
        </w:rPr>
      </w:pPr>
      <w:bookmarkStart w:id="7" w:name="S勾选Add1"/>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001-201</w:t>
      </w:r>
      <w:r>
        <w:rPr>
          <w:rFonts w:hint="eastAsia" w:ascii="宋体" w:hAnsi="宋体"/>
          <w:b/>
          <w:color w:val="000000"/>
          <w:sz w:val="20"/>
          <w:szCs w:val="20"/>
          <w:lang w:val="en-US" w:eastAsia="zh-CN"/>
        </w:rPr>
        <w:t>8</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672"/>
        <w:gridCol w:w="1222"/>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襄阳华壁新型建材有限公司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184" w:type="dxa"/>
            <w:gridSpan w:val="3"/>
          </w:tcPr>
          <w:p>
            <w:pPr>
              <w:spacing w:line="280" w:lineRule="exact"/>
              <w:rPr>
                <w:rFonts w:ascii="宋体"/>
                <w:b/>
                <w:color w:val="000000"/>
                <w:sz w:val="20"/>
                <w:szCs w:val="20"/>
              </w:rPr>
            </w:pPr>
            <w:bookmarkStart w:id="9" w:name="注册地址"/>
            <w:r>
              <w:rPr>
                <w:rFonts w:ascii="宋体"/>
                <w:b/>
                <w:color w:val="000000"/>
                <w:sz w:val="20"/>
                <w:szCs w:val="20"/>
              </w:rPr>
              <w:t>襄阳市襄城区经济开发区8号路</w:t>
            </w:r>
            <w:bookmarkEnd w:id="9"/>
          </w:p>
        </w:tc>
        <w:tc>
          <w:tcPr>
            <w:tcW w:w="122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86" w:type="dxa"/>
          </w:tcPr>
          <w:p>
            <w:pPr>
              <w:spacing w:line="280" w:lineRule="exact"/>
              <w:rPr>
                <w:rFonts w:ascii="宋体"/>
                <w:b/>
                <w:color w:val="000000"/>
                <w:sz w:val="20"/>
                <w:szCs w:val="20"/>
              </w:rPr>
            </w:pPr>
            <w:bookmarkStart w:id="10" w:name="注册邮编"/>
            <w:r>
              <w:rPr>
                <w:rFonts w:ascii="宋体"/>
                <w:b/>
                <w:color w:val="000000"/>
                <w:sz w:val="20"/>
                <w:szCs w:val="20"/>
              </w:rPr>
              <w:t>441000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184" w:type="dxa"/>
            <w:gridSpan w:val="3"/>
          </w:tcPr>
          <w:p>
            <w:pPr>
              <w:spacing w:line="280" w:lineRule="exact"/>
              <w:rPr>
                <w:rFonts w:ascii="宋体"/>
                <w:b/>
                <w:color w:val="000000"/>
                <w:sz w:val="20"/>
                <w:szCs w:val="20"/>
              </w:rPr>
            </w:pPr>
            <w:bookmarkStart w:id="11" w:name="经营地址"/>
            <w:bookmarkEnd w:id="11"/>
          </w:p>
        </w:tc>
        <w:tc>
          <w:tcPr>
            <w:tcW w:w="1222" w:type="dxa"/>
            <w:vMerge w:val="continue"/>
            <w:vAlign w:val="center"/>
          </w:tcPr>
          <w:p>
            <w:pPr>
              <w:spacing w:line="280" w:lineRule="exact"/>
              <w:jc w:val="center"/>
              <w:rPr>
                <w:rFonts w:ascii="宋体"/>
                <w:b/>
                <w:color w:val="000000"/>
                <w:sz w:val="20"/>
                <w:szCs w:val="20"/>
              </w:rPr>
            </w:pPr>
          </w:p>
        </w:tc>
        <w:tc>
          <w:tcPr>
            <w:tcW w:w="2086"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184" w:type="dxa"/>
            <w:gridSpan w:val="3"/>
          </w:tcPr>
          <w:p>
            <w:pPr>
              <w:spacing w:line="280" w:lineRule="exact"/>
              <w:rPr>
                <w:rFonts w:ascii="宋体"/>
                <w:b/>
                <w:color w:val="000000"/>
                <w:sz w:val="20"/>
                <w:szCs w:val="20"/>
              </w:rPr>
            </w:pPr>
            <w:bookmarkStart w:id="13" w:name="生产地址Add1"/>
            <w:r>
              <w:rPr>
                <w:rFonts w:ascii="宋体"/>
                <w:b/>
                <w:color w:val="000000"/>
                <w:sz w:val="20"/>
                <w:szCs w:val="20"/>
              </w:rPr>
              <w:t>湖北省襄阳市襄城区经济开发区8号路</w:t>
            </w:r>
            <w:bookmarkEnd w:id="13"/>
          </w:p>
        </w:tc>
        <w:tc>
          <w:tcPr>
            <w:tcW w:w="1222" w:type="dxa"/>
            <w:vMerge w:val="continue"/>
            <w:vAlign w:val="center"/>
          </w:tcPr>
          <w:p>
            <w:pPr>
              <w:spacing w:line="280" w:lineRule="exact"/>
              <w:jc w:val="center"/>
              <w:rPr>
                <w:rFonts w:ascii="宋体"/>
                <w:b/>
                <w:color w:val="000000"/>
                <w:sz w:val="20"/>
                <w:szCs w:val="20"/>
              </w:rPr>
            </w:pPr>
          </w:p>
        </w:tc>
        <w:tc>
          <w:tcPr>
            <w:tcW w:w="2086" w:type="dxa"/>
          </w:tcPr>
          <w:p>
            <w:pPr>
              <w:spacing w:line="280" w:lineRule="exact"/>
              <w:rPr>
                <w:rFonts w:ascii="宋体"/>
                <w:b/>
                <w:color w:val="000000"/>
                <w:sz w:val="20"/>
                <w:szCs w:val="20"/>
              </w:rPr>
            </w:pPr>
            <w:bookmarkStart w:id="14" w:name="生产邮编Add1"/>
            <w:r>
              <w:rPr>
                <w:rFonts w:ascii="宋体"/>
                <w:b/>
                <w:color w:val="000000"/>
                <w:sz w:val="20"/>
                <w:szCs w:val="20"/>
              </w:rPr>
              <w:t>441000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吴传友</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1672"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15997223851</w:t>
            </w:r>
            <w:bookmarkEnd w:id="16"/>
          </w:p>
        </w:tc>
        <w:tc>
          <w:tcPr>
            <w:tcW w:w="122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86"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陈龙</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672" w:type="dxa"/>
          </w:tcPr>
          <w:p>
            <w:pPr>
              <w:rPr>
                <w:rFonts w:ascii="宋体"/>
                <w:b/>
                <w:color w:val="000000"/>
                <w:sz w:val="20"/>
                <w:szCs w:val="20"/>
              </w:rPr>
            </w:pPr>
            <w:bookmarkStart w:id="19" w:name="管理者代表"/>
            <w:r>
              <w:rPr>
                <w:rFonts w:ascii="宋体"/>
                <w:b/>
                <w:color w:val="000000"/>
                <w:sz w:val="20"/>
                <w:szCs w:val="20"/>
              </w:rPr>
              <w:t>吴传友</w:t>
            </w:r>
            <w:bookmarkEnd w:id="19"/>
          </w:p>
        </w:tc>
        <w:tc>
          <w:tcPr>
            <w:tcW w:w="1222" w:type="dxa"/>
          </w:tcPr>
          <w:p>
            <w:pPr>
              <w:jc w:val="center"/>
              <w:rPr>
                <w:rFonts w:ascii="宋体"/>
                <w:b/>
                <w:color w:val="000000"/>
                <w:sz w:val="20"/>
                <w:szCs w:val="20"/>
              </w:rPr>
            </w:pPr>
            <w:r>
              <w:rPr>
                <w:rFonts w:hint="eastAsia" w:ascii="宋体"/>
                <w:b/>
                <w:color w:val="000000"/>
                <w:sz w:val="20"/>
                <w:szCs w:val="20"/>
              </w:rPr>
              <w:t>邮箱</w:t>
            </w:r>
          </w:p>
        </w:tc>
        <w:tc>
          <w:tcPr>
            <w:tcW w:w="2086" w:type="dxa"/>
          </w:tcPr>
          <w:p>
            <w:pPr>
              <w:rPr>
                <w:rFonts w:ascii="宋体"/>
                <w:b/>
                <w:color w:val="000000"/>
                <w:sz w:val="20"/>
                <w:szCs w:val="20"/>
              </w:rPr>
            </w:pPr>
            <w:bookmarkStart w:id="20" w:name="联系人邮箱Add1"/>
            <w:r>
              <w:rPr>
                <w:rFonts w:ascii="宋体"/>
                <w:b/>
                <w:color w:val="000000"/>
                <w:sz w:val="20"/>
                <w:szCs w:val="20"/>
              </w:rPr>
              <w:t>344917776@qq.com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粉煤灰蒸压加气混凝土砌块的生产及销售</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2.4</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val="0"/>
          <w:bCs/>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管理层、综合部、生产部、采购部、研发部、财务部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color w:val="000000"/>
          <w:sz w:val="20"/>
          <w:szCs w:val="20"/>
          <w:lang w:val="en-US" w:eastAsia="zh-CN"/>
        </w:rPr>
        <w:t>上料过程、搅拌过程、成型过程、蒸压保养过程、切割过程</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w:t>
            </w:r>
            <w:r>
              <w:rPr>
                <w:rFonts w:hint="eastAsia" w:ascii="宋体" w:hAnsi="宋体"/>
                <w:color w:val="000000"/>
                <w:sz w:val="20"/>
                <w:szCs w:val="20"/>
                <w:lang w:val="en-US" w:eastAsia="zh-CN"/>
              </w:rPr>
              <w:t>能源</w:t>
            </w:r>
            <w:r>
              <w:rPr>
                <w:rFonts w:hint="eastAsia" w:ascii="宋体" w:hAnsi="宋体"/>
                <w:color w:val="000000"/>
                <w:sz w:val="20"/>
                <w:szCs w:val="20"/>
              </w:rPr>
              <w:t>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r>
              <w:rPr>
                <w:rFonts w:hint="eastAsia" w:ascii="宋体" w:hAnsi="宋体"/>
                <w:b/>
                <w:color w:val="000000"/>
                <w:sz w:val="20"/>
                <w:szCs w:val="20"/>
              </w:rPr>
              <w:t>能源评审及能源评审输出的策划和控制（EnMS</w:t>
            </w:r>
            <w:r>
              <w:rPr>
                <w:rFonts w:ascii="宋体" w:hAnsi="宋体"/>
                <w:b/>
                <w:color w:val="000000"/>
                <w:sz w:val="20"/>
                <w:szCs w:val="20"/>
              </w:rPr>
              <w:t>）</w:t>
            </w:r>
          </w:p>
        </w:tc>
        <w:tc>
          <w:tcPr>
            <w:tcW w:w="970" w:type="dxa"/>
            <w:gridSpan w:val="2"/>
          </w:tcPr>
          <w:p>
            <w:pPr>
              <w:rPr>
                <w:rFonts w:hint="eastAsia" w:ascii="宋体" w:hAnsi="宋体"/>
                <w:color w:val="000000"/>
                <w:spacing w:val="-10"/>
                <w:sz w:val="20"/>
                <w:szCs w:val="20"/>
              </w:rPr>
            </w:pPr>
          </w:p>
        </w:tc>
        <w:tc>
          <w:tcPr>
            <w:tcW w:w="1308" w:type="dxa"/>
            <w:gridSpan w:val="2"/>
          </w:tcPr>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70" w:type="dxa"/>
            <w:gridSpan w:val="2"/>
            <w:vAlign w:val="top"/>
          </w:tcPr>
          <w:p>
            <w:pPr>
              <w:rPr>
                <w:rFonts w:hint="eastAsia"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充分</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w:t>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lang w:val="en-US" w:eastAsia="zh-CN"/>
              </w:rPr>
              <w:t>9</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hint="eastAsia" w:ascii="宋体" w:hAnsi="宋体"/>
                <w:b/>
                <w:color w:val="000000"/>
                <w:sz w:val="20"/>
                <w:szCs w:val="20"/>
                <w:lang w:val="en-US" w:eastAsia="zh-CN"/>
              </w:rPr>
              <w:t>10</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color w:val="000000"/>
                <w:szCs w:val="21"/>
                <w:u w:val="single"/>
                <w:lang w:val="en-US" w:eastAsia="zh-CN"/>
              </w:rPr>
              <w:t>粉煤灰蒸压加气混凝土砌块</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rPr>
                <w:rFonts w:hint="eastAsia" w:ascii="Times New Roman" w:hAnsi="Times New Roman" w:eastAsia="宋体" w:cs="Times New Roman"/>
                <w:color w:val="000000"/>
                <w:szCs w:val="21"/>
                <w:u w:val="single"/>
                <w:lang w:val="en-US" w:eastAsia="zh-CN"/>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val="0"/>
                <w:bCs/>
                <w:color w:val="000000"/>
                <w:sz w:val="20"/>
                <w:szCs w:val="20"/>
                <w:lang w:val="en-US" w:eastAsia="zh-CN"/>
              </w:rPr>
              <w:t>管理层、综合部、生产部、采购部、研发部、财务部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eastAsia="宋体" w:cs="Times New Roman"/>
                <w:b w:val="0"/>
                <w:bCs/>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val="0"/>
                <w:bCs/>
                <w:color w:val="000000"/>
                <w:sz w:val="20"/>
                <w:szCs w:val="20"/>
              </w:rPr>
              <w:t>湖北省襄阳市襄城区经济开发区8号路</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hAnsi="宋体"/>
                <w:color w:val="000000"/>
                <w:sz w:val="20"/>
                <w:szCs w:val="20"/>
              </w:rPr>
              <w:t>有种产品，规格型号种有条生产线，</w:t>
            </w:r>
            <w:r>
              <w:rPr>
                <w:rFonts w:hint="eastAsia" w:ascii="宋体" w:hAnsi="宋体"/>
                <w:color w:val="000000"/>
                <w:sz w:val="20"/>
                <w:szCs w:val="20"/>
                <w:lang w:val="en-US" w:eastAsia="zh-CN"/>
              </w:rPr>
              <w:t>有1种产品，8条生产线。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60</w:t>
            </w:r>
            <w:r>
              <w:rPr>
                <w:rFonts w:hint="eastAsia" w:ascii="宋体"/>
                <w:color w:val="000000"/>
                <w:sz w:val="20"/>
                <w:szCs w:val="20"/>
              </w:rPr>
              <w:t>人，其中管理人员：</w:t>
            </w:r>
            <w:r>
              <w:rPr>
                <w:rFonts w:hint="eastAsia" w:ascii="宋体"/>
                <w:color w:val="000000"/>
                <w:sz w:val="20"/>
                <w:szCs w:val="20"/>
                <w:lang w:val="en-US" w:eastAsia="zh-CN"/>
              </w:rPr>
              <w:t>15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szCs w:val="21"/>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2020年1</w:t>
            </w:r>
            <w:r>
              <w:rPr>
                <w:rFonts w:hint="eastAsia"/>
                <w:szCs w:val="21"/>
                <w:lang w:val="en-US" w:eastAsia="zh-CN"/>
              </w:rPr>
              <w:t>1</w:t>
            </w:r>
            <w:r>
              <w:rPr>
                <w:rFonts w:hint="eastAsia"/>
                <w:szCs w:val="21"/>
              </w:rPr>
              <w:t>月</w:t>
            </w:r>
            <w:r>
              <w:rPr>
                <w:rFonts w:hint="eastAsia"/>
                <w:szCs w:val="21"/>
                <w:lang w:val="en-US" w:eastAsia="zh-CN"/>
              </w:rPr>
              <w:t>20</w:t>
            </w:r>
            <w:r>
              <w:rPr>
                <w:rFonts w:hint="eastAsia"/>
                <w:szCs w:val="21"/>
              </w:rPr>
              <w:t>日-</w:t>
            </w:r>
            <w:r>
              <w:rPr>
                <w:rFonts w:hint="eastAsia"/>
                <w:szCs w:val="21"/>
                <w:lang w:val="en-US" w:eastAsia="zh-CN"/>
              </w:rPr>
              <w:t>21</w:t>
            </w:r>
            <w:r>
              <w:rPr>
                <w:rFonts w:hint="eastAsia"/>
                <w:szCs w:val="21"/>
              </w:rPr>
              <w:t>日</w:t>
            </w:r>
            <w:r>
              <w:rPr>
                <w:rFonts w:hint="eastAsia"/>
                <w:szCs w:val="21"/>
                <w:lang w:val="en-US" w:eastAsia="zh-CN"/>
              </w:rPr>
              <w:t>组织策划实施了能源管理体系的内审。</w:t>
            </w:r>
          </w:p>
          <w:p>
            <w:pPr>
              <w:spacing w:line="260" w:lineRule="exact"/>
              <w:rPr>
                <w:rFonts w:ascii="宋体"/>
                <w:b/>
                <w:color w:val="000000"/>
                <w:sz w:val="20"/>
                <w:szCs w:val="20"/>
              </w:rPr>
            </w:pP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Times New Roman" w:hAnsi="Times New Roman" w:cs="Times New Roman"/>
                <w:szCs w:val="21"/>
                <w:lang w:val="en-US" w:eastAsia="zh-CN"/>
              </w:rPr>
              <w:t>能源管理体系检查了所有部门，和车间，检查了能源管理活动，共发现不合格0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Cs w:val="21"/>
              </w:rPr>
              <w:t>能源管理体系基本符合、基本有效、有待改进。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Times New Roman" w:hAnsi="Times New Roman" w:cs="Times New Roman"/>
                <w:szCs w:val="21"/>
                <w:lang w:val="en-US" w:eastAsia="zh-CN"/>
              </w:rPr>
              <w:t>对管理评审进行了策划，并于2020.1</w:t>
            </w:r>
            <w:r>
              <w:rPr>
                <w:rFonts w:hint="eastAsia" w:cs="Times New Roman"/>
                <w:szCs w:val="21"/>
                <w:lang w:val="en-US" w:eastAsia="zh-CN"/>
              </w:rPr>
              <w:t>2</w:t>
            </w:r>
            <w:r>
              <w:rPr>
                <w:rFonts w:hint="eastAsia" w:ascii="Times New Roman" w:hAnsi="Times New Roman" w:cs="Times New Roman"/>
                <w:szCs w:val="21"/>
                <w:lang w:val="en-US" w:eastAsia="zh-CN"/>
              </w:rPr>
              <w:t>.</w:t>
            </w:r>
            <w:r>
              <w:rPr>
                <w:rFonts w:hint="eastAsia" w:cs="Times New Roman"/>
                <w:szCs w:val="21"/>
                <w:lang w:val="en-US" w:eastAsia="zh-CN"/>
              </w:rPr>
              <w:t>25</w:t>
            </w:r>
            <w:r>
              <w:rPr>
                <w:rFonts w:hint="eastAsia" w:ascii="Times New Roman" w:hAnsi="Times New Roman" w:cs="Times New Roman"/>
                <w:szCs w:val="21"/>
                <w:lang w:val="en-US" w:eastAsia="zh-CN"/>
              </w:rPr>
              <w:t>由最高管理者主持了能源管理评审。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Times New Roman" w:hAnsi="Times New Roman" w:cs="Times New Roman"/>
                <w:szCs w:val="21"/>
                <w:lang w:val="en-US" w:eastAsia="zh-CN"/>
              </w:rPr>
              <w:t>管理体系管理评审基本充分、符合要求；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imes New Roman" w:hAnsi="Times New Roman" w:cs="Times New Roman"/>
                <w:szCs w:val="21"/>
                <w:lang w:val="en-US" w:eastAsia="zh-CN"/>
              </w:rPr>
              <w:t>管理方针目标适宜，建立的管理体系基本适宜、充分、有效。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val="0"/>
                <w:bCs/>
                <w:color w:val="000000"/>
                <w:sz w:val="20"/>
                <w:szCs w:val="20"/>
                <w:lang w:val="en-US" w:eastAsia="zh-CN"/>
              </w:rPr>
              <w:t>企业的En体系的文件资料、资源、培训、基础设施、设备设施、体系的内审和管理评审已经完成，能源管理体系管理制度等已基本建立，文审提出的问题已基本整改。企业二阶段已做好准备。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r>
              <w:rPr>
                <w:rFonts w:hint="eastAsia" w:ascii="宋体" w:hAnsi="宋体"/>
                <w:b/>
                <w:color w:val="000000"/>
                <w:sz w:val="20"/>
                <w:szCs w:val="20"/>
                <w:lang w:val="en-US" w:eastAsia="zh-CN"/>
              </w:rPr>
              <w:t>/</w:t>
            </w:r>
            <w:r>
              <w:rPr>
                <w:rFonts w:hint="eastAsia" w:ascii="宋体" w:hAnsi="宋体"/>
                <w:b/>
                <w:color w:val="000000"/>
                <w:spacing w:val="-10"/>
                <w:sz w:val="20"/>
                <w:szCs w:val="20"/>
                <w:lang w:val="de-DE" w:eastAsia="zh-CN"/>
              </w:rPr>
              <w:t>☑</w:t>
            </w:r>
            <w:r>
              <w:rPr>
                <w:rFonts w:ascii="宋体" w:hAnsi="宋体"/>
                <w:b/>
                <w:color w:val="000000"/>
                <w:sz w:val="20"/>
                <w:szCs w:val="20"/>
              </w:rPr>
              <w:t>E</w:t>
            </w:r>
            <w:r>
              <w:rPr>
                <w:rFonts w:hint="eastAsia" w:ascii="宋体" w:hAnsi="宋体"/>
                <w:b/>
                <w:color w:val="000000"/>
                <w:sz w:val="20"/>
                <w:szCs w:val="20"/>
                <w:lang w:val="en-US" w:eastAsia="zh-CN"/>
              </w:rPr>
              <w:t>n</w:t>
            </w:r>
            <w:r>
              <w:rPr>
                <w:rFonts w:ascii="宋体" w:hAnsi="宋体"/>
                <w:b/>
                <w:color w:val="000000"/>
                <w:sz w:val="20"/>
                <w:szCs w:val="20"/>
              </w:rPr>
              <w:t>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rPr>
        <w:drawing>
          <wp:anchor distT="0" distB="0" distL="114300" distR="114300" simplePos="0" relativeHeight="251659264" behindDoc="0" locked="0" layoutInCell="1" allowOverlap="1">
            <wp:simplePos x="0" y="0"/>
            <wp:positionH relativeFrom="column">
              <wp:posOffset>1971675</wp:posOffset>
            </wp:positionH>
            <wp:positionV relativeFrom="page">
              <wp:posOffset>8387080</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lang w:val="en-US" w:eastAsia="zh-CN"/>
        </w:rPr>
        <w:drawing>
          <wp:anchor distT="0" distB="0" distL="114300" distR="114300" simplePos="0" relativeHeight="251661312" behindDoc="0" locked="0" layoutInCell="1" allowOverlap="1">
            <wp:simplePos x="0" y="0"/>
            <wp:positionH relativeFrom="column">
              <wp:posOffset>3381375</wp:posOffset>
            </wp:positionH>
            <wp:positionV relativeFrom="paragraph">
              <wp:posOffset>-88900</wp:posOffset>
            </wp:positionV>
            <wp:extent cx="552450" cy="285750"/>
            <wp:effectExtent l="0" t="0" r="6350" b="6350"/>
            <wp:wrapSquare wrapText="bothSides"/>
            <wp:docPr id="3" name="图片 3" descr="4d48c1444f65387c9809ee330f8f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d48c1444f65387c9809ee330f8f776"/>
                    <pic:cNvPicPr>
                      <a:picLocks noChangeAspect="1"/>
                    </pic:cNvPicPr>
                  </pic:nvPicPr>
                  <pic:blipFill>
                    <a:blip r:embed="rId7"/>
                    <a:stretch>
                      <a:fillRect/>
                    </a:stretch>
                  </pic:blipFill>
                  <pic:spPr>
                    <a:xfrm>
                      <a:off x="0" y="0"/>
                      <a:ext cx="552450" cy="285750"/>
                    </a:xfrm>
                    <a:prstGeom prst="rect">
                      <a:avLst/>
                    </a:prstGeom>
                  </pic:spPr>
                </pic:pic>
              </a:graphicData>
            </a:graphic>
          </wp:anchor>
        </w:drawing>
      </w:r>
      <w:r>
        <w:rPr>
          <w:rFonts w:hint="eastAsia" w:ascii="宋体" w:hAnsi="宋体"/>
          <w:b/>
          <w:color w:val="000000"/>
          <w:lang w:val="en-US" w:eastAsia="zh-CN"/>
        </w:rPr>
        <w:t xml:space="preserve">          </w:t>
      </w:r>
      <w:r>
        <w:rPr>
          <w:rFonts w:hint="eastAsia" w:ascii="宋体" w:hAnsi="宋体"/>
          <w:color w:val="000000"/>
          <w:sz w:val="28"/>
          <w:szCs w:val="28"/>
        </w:rPr>
        <w:drawing>
          <wp:anchor distT="0" distB="0" distL="114300" distR="114300" simplePos="0" relativeHeight="251660288" behindDoc="0" locked="0" layoutInCell="1" allowOverlap="1">
            <wp:simplePos x="0" y="0"/>
            <wp:positionH relativeFrom="column">
              <wp:posOffset>2568575</wp:posOffset>
            </wp:positionH>
            <wp:positionV relativeFrom="paragraph">
              <wp:posOffset>-114300</wp:posOffset>
            </wp:positionV>
            <wp:extent cx="688975" cy="308610"/>
            <wp:effectExtent l="0" t="0" r="952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88975" cy="308610"/>
                    </a:xfrm>
                    <a:prstGeom prst="rect">
                      <a:avLst/>
                    </a:prstGeom>
                    <a:noFill/>
                    <a:ln>
                      <a:noFill/>
                    </a:ln>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711154"/>
    <w:rsid w:val="200A06C8"/>
    <w:rsid w:val="2BF81989"/>
    <w:rsid w:val="5F8D7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2021-04-13T12:34:53Z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55F2DAFA43984A90A785CD634210173C</vt:lpwstr>
  </property>
</Properties>
</file>