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2"/>
        <w:gridCol w:w="1223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52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襄阳华壁新型建材有限公司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2"/>
                <w:szCs w:val="22"/>
              </w:rPr>
              <w:t>E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/>
                <w:b/>
                <w:szCs w:val="21"/>
              </w:rPr>
              <w:t>2.4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潘荣君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firstLine="221" w:firstLineChars="10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/>
                <w:b/>
                <w:szCs w:val="21"/>
              </w:rPr>
              <w:t>2.4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姜小清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加气：原材料制备（球磨 磨浆）-配料（中控室自动）-搅拌（铝粉 石灰 水泥）-浇注（温度控制42-45度）-静养（根据胚体的软硬度进行识别2-3小时 温度：45度）-切割（数控切割机）-蒸养（0-260度）- 成品入库堆放。</w:t>
            </w:r>
          </w:p>
          <w:p>
            <w:pPr>
              <w:snapToGrid w:val="0"/>
              <w:spacing w:line="360" w:lineRule="auto"/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能源的消耗及控制措施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能源的种类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：主要消耗的能源为电力和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蒸气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、汽（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柴）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油；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能源的来源：电力，来源于政府供电部门；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蒸气，来源于</w:t>
            </w:r>
            <w:bookmarkStart w:id="5" w:name="_GoBack"/>
            <w:r>
              <w:rPr>
                <w:rFonts w:hint="eastAsia" w:ascii="宋体" w:hAnsi="宋体"/>
                <w:color w:val="0000FF"/>
                <w:sz w:val="21"/>
                <w:szCs w:val="21"/>
                <w:lang w:val="en-US" w:eastAsia="zh-CN"/>
              </w:rPr>
              <w:t>华电襄阳发电厂</w:t>
            </w:r>
            <w:bookmarkEnd w:id="5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汽（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柴）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油</w:t>
            </w:r>
            <w:r>
              <w:rPr>
                <w:rFonts w:hint="eastAsia" w:ascii="宋体" w:hAnsi="宋体"/>
                <w:sz w:val="21"/>
                <w:szCs w:val="21"/>
              </w:rPr>
              <w:t>，来源于市政加油站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经统计分析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本公司主要消耗的电力，主要用于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磨机、搅拌机、鄂式破碎机等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生产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蒸气用于蒸压釜，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汽（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柴）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油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，主要用于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铲车、叉车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运输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主要耗能设备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湿磨机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干磨机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石灰破磅机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浇注搅拌机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空压机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蒸压釜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、铲车、叉车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《企业能源评审技术通则》（GB/T17166）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《节能监测技术通则》（GB/T15316）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《综合能耗计算通则》（GB/T 2589 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《企业能耗计量与测试导则》（GB/T6422）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《企业节能量计算方法》（GB/T13234）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《工业企业能源管理导则》（GB/T15587）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《用能单位能源计量器具配备与管理通则》 (GB/T17167)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《评价企业合理用电技术导则》（GB/T3485）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《能源管理体系要求及使用指南》 (ISO50001:2018)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《中华人民共和国节约能源法》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《中华人民共和国可再生能源法》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《高耗能设备淘汰名录》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《蒸压加气混凝土砌块》GB11968-2006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《蒸压砂加气混凝土精确砌块墙体自保温系统应用技术规程》DB42/T743-2016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《水泥化学分析方法》GB/T176-2008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《通用硅酸盐水泥》GB175-2007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《硅酸盐建筑制品用砂》JC/T622-2009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《硅酸盐建筑制品用生石灰》JC/T621-2009</w:t>
            </w:r>
          </w:p>
          <w:p>
            <w:pPr>
              <w:spacing w:line="360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《加气混凝土用铝粉膏》JC/T407-2008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能耗计量设备</w:t>
            </w:r>
          </w:p>
        </w:tc>
        <w:tc>
          <w:tcPr>
            <w:tcW w:w="8622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电能表、水表、蒸汽流量表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05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2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潘荣君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03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03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14BD3"/>
    <w:rsid w:val="17DF1F62"/>
    <w:rsid w:val="1B6B2D33"/>
    <w:rsid w:val="21A42CC0"/>
    <w:rsid w:val="2AB94993"/>
    <w:rsid w:val="2C935DA4"/>
    <w:rsid w:val="51BC5BB8"/>
    <w:rsid w:val="527C5A79"/>
    <w:rsid w:val="5A2A1BA0"/>
    <w:rsid w:val="5E107877"/>
    <w:rsid w:val="7E275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2021-04-13T12:28:29Z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D2BC545BD65A4612B7842E1068BAAD81</vt:lpwstr>
  </property>
</Properties>
</file>