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702"/>
        <w:gridCol w:w="432"/>
        <w:gridCol w:w="891"/>
        <w:gridCol w:w="1235"/>
        <w:gridCol w:w="319"/>
        <w:gridCol w:w="1099"/>
        <w:gridCol w:w="425"/>
        <w:gridCol w:w="336"/>
        <w:gridCol w:w="8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襄阳华壁新型建材有限公司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261" w:type="dxa"/>
            <w:gridSpan w:val="4"/>
            <w:vAlign w:val="center"/>
          </w:tcPr>
          <w:p>
            <w:pPr>
              <w:rPr>
                <w:sz w:val="21"/>
                <w:szCs w:val="21"/>
              </w:rPr>
            </w:pPr>
            <w:bookmarkStart w:id="1" w:name="合同编号"/>
            <w:r>
              <w:rPr>
                <w:sz w:val="21"/>
                <w:szCs w:val="21"/>
              </w:rPr>
              <w:t>0277-2021-EnMS</w:t>
            </w:r>
            <w:bookmarkEnd w:id="1"/>
          </w:p>
        </w:tc>
        <w:tc>
          <w:tcPr>
            <w:tcW w:w="1323" w:type="dxa"/>
            <w:gridSpan w:val="2"/>
            <w:vAlign w:val="center"/>
          </w:tcPr>
          <w:p>
            <w:pPr>
              <w:rPr>
                <w:sz w:val="21"/>
                <w:szCs w:val="21"/>
              </w:rPr>
            </w:pPr>
            <w:r>
              <w:rPr>
                <w:rFonts w:hint="eastAsia"/>
                <w:sz w:val="21"/>
                <w:szCs w:val="21"/>
              </w:rPr>
              <w:t>审核领域</w:t>
            </w:r>
          </w:p>
        </w:tc>
        <w:tc>
          <w:tcPr>
            <w:tcW w:w="5157"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r>
              <w:rPr>
                <w:rFonts w:hint="eastAsia"/>
                <w:sz w:val="21"/>
                <w:szCs w:val="21"/>
                <w:lang w:eastAsia="zh-CN"/>
              </w:rPr>
              <w:t>☑</w:t>
            </w:r>
            <w:r>
              <w:rPr>
                <w:spacing w:val="-2"/>
                <w:sz w:val="21"/>
                <w:szCs w:val="21"/>
              </w:rPr>
              <w:t>E</w:t>
            </w:r>
            <w:r>
              <w:rPr>
                <w:rFonts w:hint="eastAsia"/>
                <w:spacing w:val="-2"/>
                <w:sz w:val="21"/>
                <w:szCs w:val="21"/>
                <w:lang w:val="en-US" w:eastAsia="zh-CN"/>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261" w:type="dxa"/>
            <w:gridSpan w:val="4"/>
            <w:vAlign w:val="center"/>
          </w:tcPr>
          <w:p>
            <w:pPr>
              <w:rPr>
                <w:sz w:val="21"/>
                <w:szCs w:val="21"/>
              </w:rPr>
            </w:pPr>
            <w:bookmarkStart w:id="5" w:name="联系人"/>
            <w:r>
              <w:rPr>
                <w:sz w:val="21"/>
                <w:szCs w:val="21"/>
              </w:rPr>
              <w:t>吴传友</w:t>
            </w:r>
            <w:bookmarkEnd w:id="5"/>
          </w:p>
        </w:tc>
        <w:tc>
          <w:tcPr>
            <w:tcW w:w="1323" w:type="dxa"/>
            <w:gridSpan w:val="2"/>
            <w:vAlign w:val="center"/>
          </w:tcPr>
          <w:p>
            <w:pPr>
              <w:rPr>
                <w:sz w:val="21"/>
                <w:szCs w:val="21"/>
              </w:rPr>
            </w:pPr>
            <w:r>
              <w:rPr>
                <w:rFonts w:hint="eastAsia"/>
                <w:sz w:val="21"/>
                <w:szCs w:val="21"/>
              </w:rPr>
              <w:t>联系电话</w:t>
            </w:r>
          </w:p>
        </w:tc>
        <w:tc>
          <w:tcPr>
            <w:tcW w:w="1554" w:type="dxa"/>
            <w:gridSpan w:val="2"/>
            <w:vAlign w:val="center"/>
          </w:tcPr>
          <w:p>
            <w:pPr>
              <w:rPr>
                <w:sz w:val="21"/>
                <w:szCs w:val="21"/>
              </w:rPr>
            </w:pPr>
            <w:bookmarkStart w:id="6" w:name="联系人电话"/>
            <w:r>
              <w:rPr>
                <w:sz w:val="21"/>
                <w:szCs w:val="21"/>
              </w:rPr>
              <w:t>15997223851</w:t>
            </w:r>
            <w:bookmarkEnd w:id="6"/>
          </w:p>
        </w:tc>
        <w:tc>
          <w:tcPr>
            <w:tcW w:w="1524"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344917776@qq.com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261" w:type="dxa"/>
            <w:gridSpan w:val="4"/>
            <w:vAlign w:val="center"/>
          </w:tcPr>
          <w:p>
            <w:bookmarkStart w:id="8" w:name="最高管理者"/>
            <w:bookmarkEnd w:id="8"/>
          </w:p>
        </w:tc>
        <w:tc>
          <w:tcPr>
            <w:tcW w:w="1323" w:type="dxa"/>
            <w:gridSpan w:val="2"/>
            <w:vAlign w:val="center"/>
          </w:tcPr>
          <w:p>
            <w:pPr>
              <w:rPr>
                <w:sz w:val="21"/>
                <w:szCs w:val="21"/>
              </w:rPr>
            </w:pPr>
            <w:r>
              <w:rPr>
                <w:rFonts w:hint="eastAsia"/>
                <w:sz w:val="21"/>
                <w:szCs w:val="21"/>
              </w:rPr>
              <w:t>传真</w:t>
            </w:r>
          </w:p>
        </w:tc>
        <w:tc>
          <w:tcPr>
            <w:tcW w:w="1554" w:type="dxa"/>
            <w:gridSpan w:val="2"/>
            <w:vAlign w:val="center"/>
          </w:tcPr>
          <w:p>
            <w:bookmarkStart w:id="9" w:name="联系人传真"/>
            <w:bookmarkEnd w:id="9"/>
          </w:p>
        </w:tc>
        <w:tc>
          <w:tcPr>
            <w:tcW w:w="1524"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val="0"/>
                <w:bCs/>
                <w:sz w:val="21"/>
                <w:szCs w:val="21"/>
              </w:rPr>
            </w:pPr>
            <w:r>
              <w:rPr>
                <w:rFonts w:hint="eastAsia" w:ascii="宋体" w:hAnsi="宋体"/>
                <w:b w:val="0"/>
                <w:bCs/>
                <w:sz w:val="21"/>
                <w:szCs w:val="21"/>
              </w:rPr>
              <w:t>1、了解组织的基本情况（现场分布、产品和生产工艺）。</w:t>
            </w:r>
          </w:p>
          <w:p>
            <w:pPr>
              <w:ind w:left="316" w:hanging="315" w:hangingChars="150"/>
              <w:textAlignment w:val="center"/>
              <w:rPr>
                <w:rFonts w:ascii="宋体" w:hAnsi="宋体"/>
                <w:b w:val="0"/>
                <w:bCs/>
                <w:sz w:val="21"/>
                <w:szCs w:val="21"/>
              </w:rPr>
            </w:pPr>
            <w:r>
              <w:rPr>
                <w:rFonts w:hint="eastAsia" w:ascii="宋体" w:hAnsi="宋体"/>
                <w:b w:val="0"/>
                <w:bCs/>
                <w:sz w:val="21"/>
                <w:szCs w:val="21"/>
              </w:rPr>
              <w:t>2、了解组织建立的管理体系对认证审核的准备程度，确认是否具备第二阶段审核的条件，确定第二阶段审核的重点及资源配置。</w:t>
            </w:r>
          </w:p>
          <w:p>
            <w:r>
              <w:rPr>
                <w:rFonts w:hint="eastAsia" w:ascii="宋体" w:hAnsi="宋体"/>
                <w:b w:val="0"/>
                <w:bCs/>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粉煤灰蒸压加气混凝土砌块的生产及销售</w:t>
            </w:r>
            <w:bookmarkEnd w:id="10"/>
          </w:p>
        </w:tc>
        <w:tc>
          <w:tcPr>
            <w:tcW w:w="850" w:type="dxa"/>
            <w:gridSpan w:val="3"/>
            <w:vAlign w:val="center"/>
          </w:tcPr>
          <w:p>
            <w:r>
              <w:rPr>
                <w:rFonts w:hint="eastAsia"/>
              </w:rPr>
              <w:t>专业</w:t>
            </w:r>
          </w:p>
          <w:p>
            <w:r>
              <w:rPr>
                <w:rFonts w:hint="eastAsia"/>
              </w:rPr>
              <w:t>代码</w:t>
            </w:r>
          </w:p>
        </w:tc>
        <w:tc>
          <w:tcPr>
            <w:tcW w:w="1654" w:type="dxa"/>
            <w:vAlign w:val="center"/>
          </w:tcPr>
          <w:p>
            <w:bookmarkStart w:id="11" w:name="专业代码"/>
            <w:r>
              <w:t>2.4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ISO50001:2018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2021年04月04日 上午至2021年04月04日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851" w:type="dxa"/>
            <w:gridSpan w:val="2"/>
            <w:vAlign w:val="center"/>
          </w:tcPr>
          <w:p>
            <w:pPr>
              <w:jc w:val="center"/>
              <w:rPr>
                <w:sz w:val="21"/>
                <w:szCs w:val="21"/>
              </w:rPr>
            </w:pPr>
            <w:r>
              <w:rPr>
                <w:rFonts w:hint="eastAsia"/>
                <w:sz w:val="21"/>
                <w:szCs w:val="21"/>
              </w:rPr>
              <w:t>注册资格</w:t>
            </w:r>
          </w:p>
        </w:tc>
        <w:tc>
          <w:tcPr>
            <w:tcW w:w="2877" w:type="dxa"/>
            <w:gridSpan w:val="4"/>
            <w:vAlign w:val="center"/>
          </w:tcPr>
          <w:p>
            <w:pPr>
              <w:jc w:val="center"/>
              <w:rPr>
                <w:sz w:val="21"/>
                <w:szCs w:val="21"/>
              </w:rPr>
            </w:pPr>
            <w:r>
              <w:rPr>
                <w:rFonts w:hint="eastAsia"/>
                <w:sz w:val="21"/>
                <w:szCs w:val="21"/>
              </w:rPr>
              <w:t>专业代码</w:t>
            </w:r>
          </w:p>
        </w:tc>
        <w:tc>
          <w:tcPr>
            <w:tcW w:w="1860" w:type="dxa"/>
            <w:gridSpan w:val="3"/>
            <w:vAlign w:val="center"/>
          </w:tcPr>
          <w:p>
            <w:pPr>
              <w:jc w:val="center"/>
              <w:rPr>
                <w:sz w:val="21"/>
                <w:szCs w:val="21"/>
              </w:rPr>
            </w:pPr>
            <w:r>
              <w:rPr>
                <w:rFonts w:hint="eastAsia"/>
                <w:sz w:val="21"/>
                <w:szCs w:val="21"/>
              </w:rPr>
              <w:t>联系电话</w:t>
            </w:r>
          </w:p>
        </w:tc>
        <w:tc>
          <w:tcPr>
            <w:tcW w:w="1743" w:type="dxa"/>
            <w:gridSpan w:val="2"/>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周涛</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851" w:type="dxa"/>
            <w:gridSpan w:val="2"/>
            <w:vAlign w:val="center"/>
          </w:tcPr>
          <w:p>
            <w:pPr>
              <w:jc w:val="center"/>
              <w:rPr>
                <w:sz w:val="21"/>
                <w:szCs w:val="21"/>
              </w:rPr>
            </w:pPr>
            <w:r>
              <w:rPr>
                <w:sz w:val="21"/>
                <w:szCs w:val="21"/>
              </w:rPr>
              <w:t>审核员</w:t>
            </w:r>
          </w:p>
        </w:tc>
        <w:tc>
          <w:tcPr>
            <w:tcW w:w="2877" w:type="dxa"/>
            <w:gridSpan w:val="4"/>
            <w:vAlign w:val="center"/>
          </w:tcPr>
          <w:p>
            <w:pPr>
              <w:jc w:val="center"/>
              <w:rPr>
                <w:sz w:val="21"/>
                <w:szCs w:val="21"/>
              </w:rPr>
            </w:pPr>
          </w:p>
        </w:tc>
        <w:tc>
          <w:tcPr>
            <w:tcW w:w="1860" w:type="dxa"/>
            <w:gridSpan w:val="3"/>
            <w:vAlign w:val="center"/>
          </w:tcPr>
          <w:p>
            <w:pPr>
              <w:jc w:val="center"/>
              <w:rPr>
                <w:sz w:val="21"/>
                <w:szCs w:val="21"/>
              </w:rPr>
            </w:pPr>
            <w:r>
              <w:rPr>
                <w:sz w:val="21"/>
                <w:szCs w:val="21"/>
              </w:rPr>
              <w:t>13863734938</w:t>
            </w:r>
          </w:p>
        </w:tc>
        <w:tc>
          <w:tcPr>
            <w:tcW w:w="1743" w:type="dxa"/>
            <w:gridSpan w:val="2"/>
            <w:vAlign w:val="center"/>
          </w:tcPr>
          <w:p>
            <w:pPr>
              <w:jc w:val="center"/>
              <w:rPr>
                <w:sz w:val="21"/>
                <w:szCs w:val="21"/>
              </w:rPr>
            </w:pPr>
            <w:r>
              <w:rPr>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姜小清</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851" w:type="dxa"/>
            <w:gridSpan w:val="2"/>
            <w:vAlign w:val="center"/>
          </w:tcPr>
          <w:p>
            <w:pPr>
              <w:jc w:val="center"/>
              <w:rPr>
                <w:sz w:val="21"/>
                <w:szCs w:val="21"/>
              </w:rPr>
            </w:pPr>
            <w:r>
              <w:rPr>
                <w:sz w:val="21"/>
                <w:szCs w:val="21"/>
              </w:rPr>
              <w:t>审核员</w:t>
            </w:r>
          </w:p>
        </w:tc>
        <w:tc>
          <w:tcPr>
            <w:tcW w:w="2877" w:type="dxa"/>
            <w:gridSpan w:val="4"/>
            <w:vAlign w:val="center"/>
          </w:tcPr>
          <w:p>
            <w:pPr>
              <w:jc w:val="center"/>
              <w:rPr>
                <w:sz w:val="21"/>
                <w:szCs w:val="21"/>
              </w:rPr>
            </w:pPr>
          </w:p>
        </w:tc>
        <w:tc>
          <w:tcPr>
            <w:tcW w:w="1860" w:type="dxa"/>
            <w:gridSpan w:val="3"/>
            <w:vAlign w:val="center"/>
          </w:tcPr>
          <w:p>
            <w:pPr>
              <w:jc w:val="center"/>
              <w:rPr>
                <w:sz w:val="21"/>
                <w:szCs w:val="21"/>
              </w:rPr>
            </w:pPr>
            <w:r>
              <w:rPr>
                <w:sz w:val="21"/>
                <w:szCs w:val="21"/>
              </w:rPr>
              <w:t>13801208638</w:t>
            </w:r>
          </w:p>
        </w:tc>
        <w:tc>
          <w:tcPr>
            <w:tcW w:w="1743" w:type="dxa"/>
            <w:gridSpan w:val="2"/>
            <w:vAlign w:val="center"/>
          </w:tcPr>
          <w:p>
            <w:pPr>
              <w:jc w:val="center"/>
              <w:rPr>
                <w:sz w:val="21"/>
                <w:szCs w:val="21"/>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潘荣君</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851" w:type="dxa"/>
            <w:gridSpan w:val="2"/>
            <w:vAlign w:val="center"/>
          </w:tcPr>
          <w:p>
            <w:pPr>
              <w:jc w:val="center"/>
              <w:rPr>
                <w:sz w:val="21"/>
                <w:szCs w:val="21"/>
              </w:rPr>
            </w:pPr>
            <w:r>
              <w:rPr>
                <w:sz w:val="21"/>
                <w:szCs w:val="21"/>
              </w:rPr>
              <w:t>专家</w:t>
            </w:r>
          </w:p>
        </w:tc>
        <w:tc>
          <w:tcPr>
            <w:tcW w:w="2877" w:type="dxa"/>
            <w:gridSpan w:val="4"/>
            <w:vAlign w:val="center"/>
          </w:tcPr>
          <w:p>
            <w:pPr>
              <w:jc w:val="center"/>
              <w:rPr>
                <w:sz w:val="21"/>
                <w:szCs w:val="21"/>
              </w:rPr>
            </w:pPr>
            <w:r>
              <w:rPr>
                <w:sz w:val="21"/>
                <w:szCs w:val="21"/>
              </w:rPr>
              <w:t>2.4</w:t>
            </w:r>
          </w:p>
        </w:tc>
        <w:tc>
          <w:tcPr>
            <w:tcW w:w="1860" w:type="dxa"/>
            <w:gridSpan w:val="3"/>
            <w:vAlign w:val="center"/>
          </w:tcPr>
          <w:p>
            <w:pPr>
              <w:jc w:val="center"/>
              <w:rPr>
                <w:sz w:val="21"/>
                <w:szCs w:val="21"/>
              </w:rPr>
            </w:pPr>
            <w:r>
              <w:rPr>
                <w:sz w:val="21"/>
                <w:szCs w:val="21"/>
              </w:rPr>
              <w:t>13307101600</w:t>
            </w:r>
          </w:p>
        </w:tc>
        <w:tc>
          <w:tcPr>
            <w:tcW w:w="1743" w:type="dxa"/>
            <w:gridSpan w:val="2"/>
            <w:vAlign w:val="center"/>
          </w:tcPr>
          <w:p>
            <w:pPr>
              <w:jc w:val="center"/>
              <w:rPr>
                <w:sz w:val="21"/>
                <w:szCs w:val="21"/>
              </w:rPr>
            </w:pPr>
            <w:r>
              <w:rPr>
                <w:sz w:val="21"/>
                <w:szCs w:val="21"/>
              </w:rPr>
              <w:t>ISC-JSZJ-208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sz w:val="21"/>
                <w:szCs w:val="21"/>
              </w:rPr>
            </w:pP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570"/>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日期</w:t>
            </w:r>
          </w:p>
        </w:tc>
        <w:tc>
          <w:tcPr>
            <w:tcW w:w="1389"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时间</w:t>
            </w:r>
          </w:p>
        </w:tc>
        <w:tc>
          <w:tcPr>
            <w:tcW w:w="6570"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受审核部门、场所及审核内容</w:t>
            </w:r>
          </w:p>
        </w:tc>
        <w:tc>
          <w:tcPr>
            <w:tcW w:w="1407" w:type="dxa"/>
            <w:tcBorders>
              <w:righ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2021.4.4</w:t>
            </w: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8：00-8：30</w:t>
            </w:r>
          </w:p>
        </w:tc>
        <w:tc>
          <w:tcPr>
            <w:tcW w:w="6570"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首次会议</w:t>
            </w:r>
          </w:p>
        </w:tc>
        <w:tc>
          <w:tcPr>
            <w:tcW w:w="1407" w:type="dxa"/>
            <w:tcBorders>
              <w:right w:val="single" w:color="auto" w:sz="8" w:space="0"/>
            </w:tcBorders>
            <w:vAlign w:val="center"/>
          </w:tcPr>
          <w:p>
            <w:pPr>
              <w:rPr>
                <w:sz w:val="21"/>
                <w:szCs w:val="21"/>
              </w:rPr>
            </w:pPr>
            <w:r>
              <w:rPr>
                <w:sz w:val="21"/>
                <w:szCs w:val="21"/>
              </w:rPr>
              <w:t>ISC-72033</w:t>
            </w:r>
          </w:p>
          <w:p>
            <w:pPr>
              <w:rPr>
                <w:sz w:val="21"/>
                <w:szCs w:val="21"/>
              </w:rPr>
            </w:pPr>
            <w:r>
              <w:rPr>
                <w:sz w:val="21"/>
                <w:szCs w:val="21"/>
              </w:rPr>
              <w:t>ISC-201919</w:t>
            </w:r>
          </w:p>
          <w:p>
            <w:pPr>
              <w:rPr>
                <w:rFonts w:hint="eastAsia"/>
                <w:sz w:val="21"/>
                <w:szCs w:val="21"/>
                <w:lang w:val="en-US" w:eastAsia="zh-CN"/>
              </w:rPr>
            </w:pPr>
            <w:r>
              <w:rPr>
                <w:sz w:val="18"/>
                <w:szCs w:val="18"/>
              </w:rPr>
              <w:t>ISC-JSZJ-208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default" w:ascii="Times New Roman" w:hAnsi="Times New Roman" w:cs="Times New Roman"/>
                <w:sz w:val="18"/>
                <w:szCs w:val="18"/>
                <w:lang w:val="en-US" w:eastAsia="zh-CN"/>
              </w:rPr>
            </w:pP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8：30-9：30</w:t>
            </w:r>
          </w:p>
        </w:tc>
        <w:tc>
          <w:tcPr>
            <w:tcW w:w="6570"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一、</w:t>
            </w:r>
            <w:r>
              <w:rPr>
                <w:rFonts w:hint="eastAsia" w:ascii="Times New Roman" w:hAnsi="Times New Roman" w:cs="Times New Roman"/>
                <w:sz w:val="18"/>
                <w:szCs w:val="18"/>
              </w:rPr>
              <w:t>合同基本信息确认:</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核对资质证书（营业执照、生产（安全）许可证、行业许可证、3C证书等）原件和复印件/扫描件的一致性</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确定审核范围的合理性（地址、产品/服务）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确定多现场和临时现场的地址</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 xml:space="preserve">确定有效的员工人数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生产、服务的班次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体系运行时间是否满足3个月</w:t>
            </w:r>
          </w:p>
        </w:tc>
        <w:tc>
          <w:tcPr>
            <w:tcW w:w="1407" w:type="dxa"/>
            <w:tcBorders>
              <w:right w:val="single" w:color="auto" w:sz="8" w:space="0"/>
            </w:tcBorders>
            <w:vAlign w:val="center"/>
          </w:tcPr>
          <w:p>
            <w:pPr>
              <w:rPr>
                <w:rFonts w:hint="eastAsia" w:ascii="Times New Roman" w:hAnsi="Times New Roman" w:eastAsia="宋体" w:cs="Times New Roman"/>
                <w:sz w:val="18"/>
                <w:szCs w:val="18"/>
                <w:lang w:eastAsia="zh-CN"/>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9：30-12：00</w:t>
            </w:r>
          </w:p>
        </w:tc>
        <w:tc>
          <w:tcPr>
            <w:tcW w:w="6570"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二、</w:t>
            </w:r>
            <w:r>
              <w:rPr>
                <w:rFonts w:hint="eastAsia" w:ascii="Times New Roman" w:hAnsi="Times New Roman" w:cs="Times New Roman"/>
                <w:sz w:val="18"/>
                <w:szCs w:val="18"/>
              </w:rPr>
              <w:t>了解企业基本情况：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组织环境</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 xml:space="preserve">主要的相关方和期望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风险的识别和评价</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组织机构的设置</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外部提供过程、产品和服务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被主管部门处罚和曝光情况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其他机构转入情况（适用时）</w:t>
            </w:r>
          </w:p>
        </w:tc>
        <w:tc>
          <w:tcPr>
            <w:tcW w:w="1407" w:type="dxa"/>
            <w:tcBorders>
              <w:right w:val="single" w:color="auto" w:sz="8" w:space="0"/>
            </w:tcBorders>
            <w:vAlign w:val="center"/>
          </w:tcPr>
          <w:p>
            <w:pPr>
              <w:rPr>
                <w:rFonts w:hint="eastAsia" w:ascii="Times New Roman" w:hAnsi="Times New Roman" w:cs="Times New Roman"/>
                <w:sz w:val="18"/>
                <w:szCs w:val="18"/>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13：00-15：00</w:t>
            </w:r>
          </w:p>
        </w:tc>
        <w:tc>
          <w:tcPr>
            <w:tcW w:w="6570"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三、</w:t>
            </w:r>
            <w:r>
              <w:rPr>
                <w:rFonts w:hint="eastAsia" w:ascii="Times New Roman" w:hAnsi="Times New Roman" w:cs="Times New Roman"/>
                <w:sz w:val="18"/>
                <w:szCs w:val="18"/>
              </w:rPr>
              <w:t>文件化体系策划情况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 xml:space="preserve"> 管理手册；</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文件化的程序；</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作业文件；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记录表格</w:t>
            </w:r>
          </w:p>
        </w:tc>
        <w:tc>
          <w:tcPr>
            <w:tcW w:w="1407" w:type="dxa"/>
            <w:tcBorders>
              <w:right w:val="single" w:color="auto" w:sz="8" w:space="0"/>
            </w:tcBorders>
            <w:vAlign w:val="center"/>
          </w:tcPr>
          <w:p>
            <w:pPr>
              <w:rPr>
                <w:rFonts w:hint="eastAsia" w:ascii="Times New Roman" w:hAnsi="Times New Roman" w:cs="Times New Roman"/>
                <w:sz w:val="18"/>
                <w:szCs w:val="18"/>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15:00-1</w:t>
            </w:r>
            <w:bookmarkStart w:id="14" w:name="_GoBack"/>
            <w:bookmarkEnd w:id="14"/>
            <w:r>
              <w:rPr>
                <w:rFonts w:hint="eastAsia" w:cs="Times New Roman"/>
                <w:sz w:val="18"/>
                <w:szCs w:val="18"/>
                <w:lang w:val="en-US" w:eastAsia="zh-CN"/>
              </w:rPr>
              <w:t>6</w:t>
            </w:r>
            <w:r>
              <w:rPr>
                <w:rFonts w:hint="eastAsia" w:ascii="Times New Roman" w:hAnsi="Times New Roman" w:cs="Times New Roman"/>
                <w:sz w:val="18"/>
                <w:szCs w:val="18"/>
                <w:lang w:val="en-US" w:eastAsia="zh-CN"/>
              </w:rPr>
              <w:t>:</w:t>
            </w:r>
            <w:r>
              <w:rPr>
                <w:rFonts w:hint="eastAsia" w:cs="Times New Roman"/>
                <w:sz w:val="18"/>
                <w:szCs w:val="18"/>
                <w:lang w:val="en-US" w:eastAsia="zh-CN"/>
              </w:rPr>
              <w:t>3</w:t>
            </w:r>
            <w:r>
              <w:rPr>
                <w:rFonts w:hint="eastAsia" w:ascii="Times New Roman" w:hAnsi="Times New Roman" w:cs="Times New Roman"/>
                <w:sz w:val="18"/>
                <w:szCs w:val="18"/>
                <w:lang w:val="en-US" w:eastAsia="zh-CN"/>
              </w:rPr>
              <w:t>0</w:t>
            </w:r>
          </w:p>
        </w:tc>
        <w:tc>
          <w:tcPr>
            <w:tcW w:w="6570"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四、</w:t>
            </w:r>
            <w:r>
              <w:rPr>
                <w:rFonts w:hint="eastAsia" w:ascii="Times New Roman" w:hAnsi="Times New Roman" w:cs="Times New Roman"/>
                <w:sz w:val="18"/>
                <w:szCs w:val="18"/>
              </w:rPr>
              <w:t>各管理体系的运行情况：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管理方针制定与贯彻情况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管理目标及完成统计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员工对相关标准的认知和能力（贯标培训、应知应会、持证上岗等）</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相关方/客户的反馈</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内审的策划和实施</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管理体系的评审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对多场所/临时场所建立的控制的水平（适用时）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8、</w:t>
            </w:r>
            <w:r>
              <w:rPr>
                <w:rFonts w:hint="eastAsia" w:ascii="Times New Roman" w:hAnsi="Times New Roman" w:cs="Times New Roman"/>
                <w:sz w:val="18"/>
                <w:szCs w:val="18"/>
              </w:rPr>
              <w:t>识别二阶段审核的资源配置情况和可行性</w:t>
            </w:r>
          </w:p>
        </w:tc>
        <w:tc>
          <w:tcPr>
            <w:tcW w:w="1407" w:type="dxa"/>
            <w:tcBorders>
              <w:right w:val="single" w:color="auto" w:sz="8" w:space="0"/>
            </w:tcBorders>
            <w:vAlign w:val="center"/>
          </w:tcPr>
          <w:p>
            <w:pPr>
              <w:rPr>
                <w:rFonts w:hint="eastAsia" w:ascii="Times New Roman" w:hAnsi="Times New Roman" w:eastAsia="宋体" w:cs="Times New Roman"/>
                <w:sz w:val="18"/>
                <w:szCs w:val="18"/>
                <w:lang w:eastAsia="zh-CN"/>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8：30-12:00</w:t>
            </w:r>
          </w:p>
        </w:tc>
        <w:tc>
          <w:tcPr>
            <w:tcW w:w="6570" w:type="dxa"/>
            <w:shd w:val="clear" w:color="auto" w:fill="92D050"/>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五、</w:t>
            </w:r>
            <w:r>
              <w:rPr>
                <w:rFonts w:hint="eastAsia" w:ascii="Times New Roman" w:hAnsi="Times New Roman" w:cs="Times New Roman"/>
                <w:sz w:val="18"/>
                <w:szCs w:val="18"/>
              </w:rPr>
              <w:t>EnMS运行情况：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查看能源评审报告的编制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 xml:space="preserve">了解能源使用种类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 xml:space="preserve"> 查看确定主要能源使用及识别影响主要能源使用的相关变量的合理性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了解能源绩效改进和控制措施的实施</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了解适用的环境法律和其他要求的获取、识别程序实施情况和合规性评价</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查看合规性证明（新扩建的节能评估、节能效果监测或后评估报告、国家限额标准符合性、地方政府下达目标指标的符合性）</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了解能源计量管理、计量器具配备率、准确度等</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8、</w:t>
            </w:r>
            <w:r>
              <w:rPr>
                <w:rFonts w:hint="eastAsia" w:ascii="Times New Roman" w:hAnsi="Times New Roman" w:cs="Times New Roman"/>
                <w:sz w:val="18"/>
                <w:szCs w:val="18"/>
              </w:rPr>
              <w:t>了解主要耗能设备能效测试</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9、</w:t>
            </w:r>
            <w:r>
              <w:rPr>
                <w:rFonts w:hint="eastAsia" w:ascii="Times New Roman" w:hAnsi="Times New Roman" w:cs="Times New Roman"/>
                <w:sz w:val="18"/>
                <w:szCs w:val="18"/>
              </w:rPr>
              <w:t>了解高耗能淘汰落后设备的识别和更新情况</w:t>
            </w:r>
          </w:p>
        </w:tc>
        <w:tc>
          <w:tcPr>
            <w:tcW w:w="1407" w:type="dxa"/>
            <w:tcBorders>
              <w:right w:val="single" w:color="auto" w:sz="8" w:space="0"/>
            </w:tcBorders>
            <w:shd w:val="clear" w:color="auto" w:fill="92D050"/>
            <w:vAlign w:val="center"/>
          </w:tcPr>
          <w:p>
            <w:pPr>
              <w:rPr>
                <w:sz w:val="21"/>
                <w:szCs w:val="21"/>
              </w:rPr>
            </w:pPr>
            <w:r>
              <w:rPr>
                <w:sz w:val="21"/>
                <w:szCs w:val="21"/>
              </w:rPr>
              <w:t>ISC-72033</w:t>
            </w:r>
          </w:p>
          <w:p>
            <w:pPr>
              <w:rPr>
                <w:rFonts w:hint="eastAsia"/>
                <w:sz w:val="21"/>
                <w:szCs w:val="21"/>
              </w:rPr>
            </w:pPr>
            <w:r>
              <w:rPr>
                <w:sz w:val="21"/>
                <w:szCs w:val="21"/>
              </w:rPr>
              <w:t>ISC-JSZJ-208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13:00-16:30</w:t>
            </w:r>
          </w:p>
        </w:tc>
        <w:tc>
          <w:tcPr>
            <w:tcW w:w="6570" w:type="dxa"/>
            <w:shd w:val="clear" w:color="auto" w:fill="92D050"/>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六、</w:t>
            </w:r>
            <w:r>
              <w:rPr>
                <w:rFonts w:hint="eastAsia" w:ascii="Times New Roman" w:hAnsi="Times New Roman" w:cs="Times New Roman"/>
                <w:sz w:val="18"/>
                <w:szCs w:val="18"/>
              </w:rPr>
              <w:t>EnMS场所巡查:</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巡视生产区域（厂区、车间等主要能源使用区域）</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巡视动力设施和辅助设施（锅炉房、高低压配电室、空压站、制冷站、改建/扩建施工现场等）</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现场核实能源计量的管理</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观察节能设施运行情况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观察监视和测量设备的种类并了解检定/校准情况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观察现场能源的跑冒滴漏现象</w:t>
            </w:r>
          </w:p>
        </w:tc>
        <w:tc>
          <w:tcPr>
            <w:tcW w:w="1407" w:type="dxa"/>
            <w:tcBorders>
              <w:right w:val="single" w:color="auto" w:sz="8" w:space="0"/>
            </w:tcBorders>
            <w:shd w:val="clear" w:color="auto" w:fill="92D050"/>
            <w:vAlign w:val="center"/>
          </w:tcPr>
          <w:p>
            <w:pPr>
              <w:rPr>
                <w:sz w:val="21"/>
                <w:szCs w:val="21"/>
              </w:rPr>
            </w:pPr>
            <w:r>
              <w:rPr>
                <w:sz w:val="21"/>
                <w:szCs w:val="21"/>
              </w:rPr>
              <w:t>ISC-72033</w:t>
            </w:r>
          </w:p>
          <w:p>
            <w:pPr>
              <w:rPr>
                <w:rFonts w:hint="eastAsia"/>
                <w:sz w:val="21"/>
                <w:szCs w:val="21"/>
              </w:rPr>
            </w:pPr>
            <w:r>
              <w:rPr>
                <w:sz w:val="21"/>
                <w:szCs w:val="21"/>
              </w:rPr>
              <w:t>ISC-JSZJ-208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11" w:type="dxa"/>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16:30-17:00</w:t>
            </w:r>
          </w:p>
        </w:tc>
        <w:tc>
          <w:tcPr>
            <w:tcW w:w="6570" w:type="dxa"/>
            <w:shd w:val="clear" w:color="auto" w:fill="92D050"/>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末次会议</w:t>
            </w:r>
          </w:p>
        </w:tc>
        <w:tc>
          <w:tcPr>
            <w:tcW w:w="1407" w:type="dxa"/>
            <w:tcBorders>
              <w:right w:val="single" w:color="auto" w:sz="8" w:space="0"/>
            </w:tcBorders>
            <w:shd w:val="clear" w:color="auto" w:fill="92D050"/>
            <w:vAlign w:val="center"/>
          </w:tcPr>
          <w:p>
            <w:pPr>
              <w:rPr>
                <w:sz w:val="21"/>
                <w:szCs w:val="21"/>
              </w:rPr>
            </w:pPr>
            <w:r>
              <w:rPr>
                <w:sz w:val="21"/>
                <w:szCs w:val="21"/>
              </w:rPr>
              <w:t>ISC-72033</w:t>
            </w:r>
          </w:p>
          <w:p>
            <w:pPr>
              <w:rPr>
                <w:sz w:val="21"/>
                <w:szCs w:val="21"/>
              </w:rPr>
            </w:pPr>
            <w:r>
              <w:rPr>
                <w:sz w:val="21"/>
                <w:szCs w:val="21"/>
              </w:rPr>
              <w:t>ISC-201919</w:t>
            </w:r>
          </w:p>
          <w:p>
            <w:pPr>
              <w:rPr>
                <w:rFonts w:hint="eastAsia"/>
                <w:sz w:val="21"/>
                <w:szCs w:val="21"/>
                <w:lang w:val="en-US" w:eastAsia="zh-CN"/>
              </w:rPr>
            </w:pPr>
            <w:r>
              <w:rPr>
                <w:sz w:val="21"/>
                <w:szCs w:val="21"/>
              </w:rPr>
              <w:t>ISC-JSZJ-208</w:t>
            </w:r>
          </w:p>
        </w:tc>
      </w:tr>
    </w:tbl>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535872"/>
    <w:rsid w:val="12EE0E92"/>
    <w:rsid w:val="4D7B0D67"/>
    <w:rsid w:val="764045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Lenovo</cp:lastModifiedBy>
  <cp:lastPrinted>2019-03-27T03:10:00Z</cp:lastPrinted>
  <dcterms:modified xsi:type="dcterms:W3CDTF">2021-04-13T12:32:41Z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38C9375593C44542B6948A81FA1117A9</vt:lpwstr>
  </property>
</Properties>
</file>