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襄阳博航金属磨料有限公司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0197-2021-Q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2021.3.31</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FF0000"/>
                <w:szCs w:val="21"/>
              </w:rPr>
            </w:pPr>
            <w:r>
              <w:rPr>
                <w:rFonts w:hint="eastAsia"/>
                <w:color w:val="FF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0938CE"/>
    <w:rsid w:val="359310F9"/>
    <w:rsid w:val="504E3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2021-03-30T14:17:24Z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E67F70B1A79146EBA8FC18B086C44376</vt:lpwstr>
  </property>
</Properties>
</file>