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szCs w:val="21"/>
        </w:rPr>
      </w:pPr>
      <w:r>
        <w:rPr>
          <w:rFonts w:hint="eastAsia" w:ascii="隶书" w:hAnsi="宋体" w:eastAsia="隶书"/>
          <w:bCs/>
          <w:color w:val="000000"/>
          <w:szCs w:val="21"/>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50"/>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50"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受审核部门：</w:t>
            </w:r>
            <w:r>
              <w:rPr>
                <w:rFonts w:hint="eastAsia" w:ascii="宋体" w:hAnsi="宋体" w:cs="宋体"/>
                <w:sz w:val="24"/>
                <w:szCs w:val="24"/>
                <w:lang w:val="en-US" w:eastAsia="zh-CN"/>
              </w:rPr>
              <w:t>管理层</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主管</w:t>
            </w:r>
            <w:r>
              <w:rPr>
                <w:rFonts w:hint="eastAsia" w:ascii="宋体" w:hAnsi="宋体" w:eastAsia="宋体" w:cs="宋体"/>
                <w:sz w:val="24"/>
                <w:szCs w:val="24"/>
                <w:lang w:val="en-US" w:eastAsia="zh-CN"/>
              </w:rPr>
              <w:t>领导：彭秀             陪同人员：</w:t>
            </w:r>
            <w:r>
              <w:rPr>
                <w:rFonts w:hint="eastAsia" w:ascii="宋体" w:hAnsi="宋体" w:eastAsia="宋体" w:cs="宋体"/>
                <w:sz w:val="24"/>
                <w:szCs w:val="24"/>
                <w:lang w:eastAsia="zh-CN"/>
              </w:rPr>
              <w:t>王红军</w:t>
            </w:r>
          </w:p>
        </w:tc>
        <w:tc>
          <w:tcPr>
            <w:tcW w:w="73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50" w:type="dxa"/>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 xml:space="preserve">姜小清              </w:t>
            </w:r>
            <w:r>
              <w:rPr>
                <w:rFonts w:hint="eastAsia" w:ascii="宋体" w:hAnsi="宋体" w:eastAsia="宋体" w:cs="宋体"/>
                <w:sz w:val="24"/>
                <w:szCs w:val="24"/>
              </w:rPr>
              <w:t>审核时间：</w:t>
            </w:r>
            <w:r>
              <w:rPr>
                <w:rFonts w:hint="eastAsia" w:ascii="宋体" w:hAnsi="宋体" w:eastAsia="宋体" w:cs="宋体"/>
                <w:sz w:val="24"/>
                <w:szCs w:val="24"/>
                <w:lang w:val="en-US" w:eastAsia="zh-CN"/>
              </w:rPr>
              <w:t>2021.4.1</w:t>
            </w:r>
          </w:p>
        </w:tc>
        <w:tc>
          <w:tcPr>
            <w:tcW w:w="7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160" w:type="dxa"/>
            <w:vMerge w:val="continue"/>
            <w:vAlign w:val="center"/>
          </w:tcPr>
          <w:p/>
        </w:tc>
        <w:tc>
          <w:tcPr>
            <w:tcW w:w="960" w:type="dxa"/>
            <w:vMerge w:val="continue"/>
            <w:vAlign w:val="center"/>
          </w:tcPr>
          <w:p/>
        </w:tc>
        <w:tc>
          <w:tcPr>
            <w:tcW w:w="10850" w:type="dxa"/>
            <w:vAlign w:val="center"/>
          </w:tcPr>
          <w:p>
            <w:pPr>
              <w:rPr>
                <w:sz w:val="24"/>
                <w:szCs w:val="24"/>
              </w:rPr>
            </w:pPr>
            <w:r>
              <w:rPr>
                <w:rFonts w:hint="eastAsia"/>
                <w:sz w:val="24"/>
                <w:szCs w:val="24"/>
              </w:rPr>
              <w:t>审核条款：</w:t>
            </w:r>
            <w:r>
              <w:rPr>
                <w:rFonts w:hint="eastAsia" w:ascii="宋体" w:hAnsi="宋体" w:eastAsia="宋体" w:cs="宋体"/>
                <w:b w:val="0"/>
                <w:bCs w:val="0"/>
                <w:color w:val="auto"/>
                <w:sz w:val="24"/>
                <w:szCs w:val="24"/>
                <w:u w:val="none"/>
                <w:lang w:val="en-US" w:eastAsia="zh-CN"/>
              </w:rPr>
              <w:t>4.1 理解组织及其所处的环境、4.2理解相关方的需求和期望、4.3 确定能源管理体系的范围、4.4 能源管理体系、5.1 领导作用和承诺、5.2 能源方针、5.3 组织的岗位、职责和权限、6.1 应对风险和机遇的措施、6.3 能源评审、6.6 采集能源数据的策划、7.1 资源、8.1 运行的策划和控制、9.3 管理评审。</w:t>
            </w:r>
          </w:p>
        </w:tc>
        <w:tc>
          <w:tcPr>
            <w:tcW w:w="7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left"/>
            </w:pPr>
            <w:r>
              <w:rPr>
                <w:rFonts w:hint="eastAsia" w:ascii="宋体" w:hAnsi="宋体" w:eastAsia="宋体" w:cs="宋体"/>
                <w:b w:val="0"/>
                <w:bCs w:val="0"/>
                <w:color w:val="auto"/>
                <w:sz w:val="24"/>
                <w:szCs w:val="24"/>
                <w:lang w:val="en-US" w:eastAsia="zh-CN"/>
              </w:rPr>
              <w:t>理解组织及其所处的环境</w:t>
            </w:r>
          </w:p>
        </w:tc>
        <w:tc>
          <w:tcPr>
            <w:tcW w:w="960"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4.1</w:t>
            </w:r>
          </w:p>
          <w:p>
            <w:pPr>
              <w:jc w:val="left"/>
              <w:rPr>
                <w:rFonts w:hint="eastAsia" w:ascii="宋体" w:hAnsi="宋体" w:eastAsia="宋体" w:cs="宋体"/>
                <w:b w:val="0"/>
                <w:bCs w:val="0"/>
                <w:color w:val="auto"/>
                <w:sz w:val="24"/>
                <w:szCs w:val="24"/>
                <w:u w:val="none"/>
                <w:lang w:val="en-US" w:eastAsia="zh-CN"/>
              </w:rPr>
            </w:pPr>
          </w:p>
        </w:tc>
        <w:tc>
          <w:tcPr>
            <w:tcW w:w="10850"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编制了《组织内外部环境因素清单》包括组织应确定与其宗旨相关的，并影响其实现其EnMS预期结果（s）以及改进能源绩效的能力的外部和内部问题等内容其中；</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内部环境问题</w:t>
            </w:r>
            <w:r>
              <w:rPr>
                <w:rFonts w:hint="eastAsia" w:ascii="宋体" w:hAnsi="宋体" w:cs="宋体"/>
                <w:b w:val="0"/>
                <w:bCs w:val="0"/>
                <w:color w:val="auto"/>
                <w:sz w:val="24"/>
                <w:szCs w:val="24"/>
                <w:lang w:val="en-US" w:eastAsia="zh-CN"/>
              </w:rPr>
              <w:t>10</w:t>
            </w:r>
            <w:r>
              <w:rPr>
                <w:rFonts w:hint="eastAsia" w:ascii="宋体" w:hAnsi="宋体" w:eastAsia="宋体" w:cs="宋体"/>
                <w:b w:val="0"/>
                <w:bCs w:val="0"/>
                <w:color w:val="auto"/>
                <w:sz w:val="24"/>
                <w:szCs w:val="24"/>
                <w:lang w:val="en-US" w:eastAsia="zh-CN"/>
              </w:rPr>
              <w:t>条、包括“组织的总体表现”、“财务状况”、“基础设施”、“过程运行的环境”、“组织的知识”、“人员能力”、“组织文化”、“工会谈判和协议”、“过程的复杂程度”、“生产或交付能力”、“质量体系的绩效相应的盈利状况”、“组织的结构、程序及组织架构”、“决策的规则”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外部环境问题“</w:t>
            </w: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lang w:val="en-US" w:eastAsia="zh-CN"/>
              </w:rPr>
              <w:t>条、包括“宏观经济学因素”、“货币兑换汇率预测”、“国家经济走向”、“通货膨胀”、“信贷可信性”等；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——查上述内容组织宗旨战略方向基本相关、并对</w:t>
            </w:r>
            <w:r>
              <w:rPr>
                <w:rFonts w:hint="eastAsia" w:ascii="宋体" w:hAnsi="宋体" w:cs="宋体"/>
                <w:b w:val="0"/>
                <w:bCs w:val="0"/>
                <w:color w:val="auto"/>
                <w:sz w:val="24"/>
                <w:szCs w:val="24"/>
                <w:u w:val="single"/>
                <w:lang w:val="en-US" w:eastAsia="zh-CN"/>
              </w:rPr>
              <w:t>能源</w:t>
            </w:r>
            <w:r>
              <w:rPr>
                <w:rFonts w:hint="eastAsia" w:ascii="宋体" w:hAnsi="宋体" w:eastAsia="宋体" w:cs="宋体"/>
                <w:b w:val="0"/>
                <w:bCs w:val="0"/>
                <w:color w:val="auto"/>
                <w:sz w:val="24"/>
                <w:szCs w:val="24"/>
                <w:u w:val="single"/>
                <w:lang w:val="en-US" w:eastAsia="zh-CN"/>
              </w:rPr>
              <w:t>管</w:t>
            </w:r>
            <w:r>
              <w:rPr>
                <w:rFonts w:hint="eastAsia" w:ascii="宋体" w:hAnsi="宋体" w:eastAsia="宋体" w:cs="宋体"/>
                <w:b w:val="0"/>
                <w:bCs w:val="0"/>
                <w:color w:val="auto"/>
                <w:sz w:val="24"/>
                <w:szCs w:val="24"/>
                <w:lang w:val="en-US" w:eastAsia="zh-CN"/>
              </w:rPr>
              <w:t>理体系实现策划能力可以产生一定影响；</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lang w:val="en-US" w:eastAsia="zh-CN"/>
              </w:rPr>
              <w:t>成文信息及时更新日期2021.2.18、有编审批；</w:t>
            </w:r>
          </w:p>
        </w:tc>
        <w:tc>
          <w:tcPr>
            <w:tcW w:w="739" w:type="dxa"/>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160"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理解相关方的需求和期望</w:t>
            </w: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numPr>
                <w:ilvl w:val="0"/>
                <w:numId w:val="0"/>
              </w:numPr>
              <w:ind w:leftChars="0"/>
              <w:rPr>
                <w:rFonts w:hint="eastAsia" w:ascii="宋体" w:hAnsi="宋体" w:eastAsia="宋体" w:cs="宋体"/>
                <w:b/>
                <w:bCs/>
                <w:sz w:val="24"/>
                <w:szCs w:val="24"/>
              </w:rPr>
            </w:pPr>
            <w:r>
              <w:rPr>
                <w:rFonts w:hint="eastAsia" w:ascii="宋体" w:hAnsi="宋体" w:eastAsia="宋体" w:cs="宋体"/>
                <w:b/>
                <w:bCs/>
                <w:sz w:val="24"/>
                <w:szCs w:val="24"/>
              </w:rPr>
              <w:t>法律法规和其他要求</w:t>
            </w:r>
          </w:p>
          <w:p>
            <w:pPr>
              <w:jc w:val="left"/>
            </w:pPr>
          </w:p>
        </w:tc>
        <w:tc>
          <w:tcPr>
            <w:tcW w:w="960"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4.2 </w:t>
            </w:r>
          </w:p>
          <w:p>
            <w:pPr>
              <w:jc w:val="left"/>
            </w:pPr>
          </w:p>
        </w:tc>
        <w:tc>
          <w:tcPr>
            <w:tcW w:w="10850"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编制了《相关方及其需求清单》包括与能源绩效和EnMS有关的利益关系方及其需要的内容、及监视和评审记录基本有效、参评人等信息；</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其中相关方共</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条、具体“顾客，雇员及其他为组织工作的人员，法律法规及监督机关，地方社会团体，非政府组织”等；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查其需求包括“顾客的要求、例如符合性、价格、安全性”、“与顾客达成的商业合同”、“行业规范及标准”、“行业许可、营业执照、其他授权”、“条约、公约、草案”、“和公共机构及顾客的协议”等；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查组织监视和评审这些相关方的信息及其相关要求基本有效；成文信息及时更新日期</w:t>
            </w:r>
            <w:r>
              <w:rPr>
                <w:rFonts w:hint="eastAsia" w:ascii="宋体" w:hAnsi="宋体" w:cs="宋体"/>
                <w:b w:val="0"/>
                <w:bCs w:val="0"/>
                <w:color w:val="auto"/>
                <w:sz w:val="24"/>
                <w:szCs w:val="24"/>
                <w:lang w:val="en-US" w:eastAsia="zh-CN"/>
              </w:rPr>
              <w:t>2021.1.15</w:t>
            </w:r>
            <w:r>
              <w:rPr>
                <w:rFonts w:hint="eastAsia" w:ascii="宋体" w:hAnsi="宋体" w:eastAsia="宋体" w:cs="宋体"/>
                <w:b w:val="0"/>
                <w:bCs w:val="0"/>
                <w:color w:val="auto"/>
                <w:sz w:val="24"/>
                <w:szCs w:val="24"/>
                <w:lang w:val="en-US" w:eastAsia="zh-CN"/>
              </w:rPr>
              <w:t>、有编审批；</w:t>
            </w:r>
          </w:p>
          <w:p>
            <w:pPr>
              <w:jc w:val="left"/>
              <w:rPr>
                <w:rFonts w:hint="eastAsia" w:ascii="宋体" w:hAnsi="宋体" w:eastAsia="宋体" w:cs="宋体"/>
                <w:b w:val="0"/>
                <w:bCs w:val="0"/>
                <w:color w:val="auto"/>
                <w:sz w:val="24"/>
                <w:szCs w:val="24"/>
                <w:lang w:val="en-US" w:eastAsia="zh-CN"/>
              </w:rPr>
            </w:pPr>
          </w:p>
          <w:p>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编制了</w:t>
            </w:r>
            <w:r>
              <w:rPr>
                <w:rFonts w:hint="eastAsia" w:ascii="宋体" w:hAnsi="宋体" w:eastAsia="宋体" w:cs="宋体"/>
                <w:sz w:val="24"/>
                <w:szCs w:val="24"/>
              </w:rPr>
              <w:t>《法律法规</w:t>
            </w:r>
            <w:r>
              <w:rPr>
                <w:rFonts w:hint="eastAsia" w:ascii="宋体" w:hAnsi="宋体" w:eastAsia="宋体" w:cs="宋体"/>
                <w:sz w:val="24"/>
                <w:szCs w:val="24"/>
                <w:lang w:val="en-US" w:eastAsia="zh-CN"/>
              </w:rPr>
              <w:t>和其他要求</w:t>
            </w:r>
            <w:r>
              <w:rPr>
                <w:rFonts w:hint="eastAsia" w:ascii="宋体" w:hAnsi="宋体" w:eastAsia="宋体" w:cs="宋体"/>
                <w:sz w:val="24"/>
                <w:szCs w:val="24"/>
              </w:rPr>
              <w:t>清单》</w:t>
            </w:r>
            <w:r>
              <w:rPr>
                <w:rFonts w:hint="eastAsia" w:ascii="宋体" w:hAnsi="宋体" w:eastAsia="宋体" w:cs="宋体"/>
                <w:sz w:val="24"/>
                <w:szCs w:val="24"/>
                <w:lang w:val="en-US" w:eastAsia="zh-CN"/>
              </w:rPr>
              <w:t>其中法律法规</w:t>
            </w:r>
            <w:r>
              <w:rPr>
                <w:rFonts w:hint="eastAsia" w:ascii="宋体" w:hAnsi="宋体" w:cs="宋体"/>
                <w:sz w:val="24"/>
                <w:szCs w:val="24"/>
                <w:lang w:val="en-US" w:eastAsia="zh-CN"/>
              </w:rPr>
              <w:t>40</w:t>
            </w:r>
            <w:r>
              <w:rPr>
                <w:rFonts w:hint="eastAsia" w:ascii="宋体" w:hAnsi="宋体" w:eastAsia="宋体" w:cs="宋体"/>
                <w:sz w:val="24"/>
                <w:szCs w:val="24"/>
                <w:lang w:val="en-US" w:eastAsia="zh-CN"/>
              </w:rPr>
              <w:t>条、抽查若干：</w:t>
            </w:r>
          </w:p>
          <w:p>
            <w:pPr>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中华人民共和国节约能源法</w:t>
            </w:r>
            <w:r>
              <w:rPr>
                <w:rFonts w:hint="eastAsia" w:ascii="宋体" w:hAnsi="宋体" w:eastAsia="宋体" w:cs="宋体"/>
                <w:sz w:val="24"/>
                <w:szCs w:val="24"/>
                <w:lang w:eastAsia="zh-CN"/>
              </w:rPr>
              <w:t>》</w:t>
            </w:r>
            <w:r>
              <w:rPr>
                <w:rFonts w:hint="eastAsia" w:ascii="宋体" w:hAnsi="宋体" w:eastAsia="宋体" w:cs="宋体"/>
                <w:sz w:val="24"/>
                <w:szCs w:val="24"/>
              </w:rPr>
              <w:t>发布日期、</w:t>
            </w:r>
            <w:r>
              <w:rPr>
                <w:rFonts w:hint="eastAsia" w:ascii="宋体" w:hAnsi="宋体" w:eastAsia="宋体" w:cs="宋体"/>
                <w:sz w:val="24"/>
                <w:szCs w:val="24"/>
                <w:lang w:val="en-US" w:eastAsia="zh-CN"/>
              </w:rPr>
              <w:t>实施日期、适用条款；</w:t>
            </w:r>
            <w:r>
              <w:rPr>
                <w:rFonts w:hint="eastAsia" w:ascii="宋体" w:hAnsi="宋体" w:eastAsia="宋体" w:cs="宋体"/>
                <w:sz w:val="24"/>
                <w:szCs w:val="24"/>
                <w:lang w:eastAsia="zh-CN"/>
              </w:rPr>
              <w:t>《中华人民共和国可再生能源法》</w:t>
            </w:r>
            <w:r>
              <w:rPr>
                <w:rFonts w:hint="eastAsia" w:ascii="宋体" w:hAnsi="宋体" w:eastAsia="宋体" w:cs="宋体"/>
                <w:sz w:val="24"/>
                <w:szCs w:val="24"/>
              </w:rPr>
              <w:t>发布日期、</w:t>
            </w:r>
            <w:r>
              <w:rPr>
                <w:rFonts w:hint="eastAsia" w:ascii="宋体" w:hAnsi="宋体" w:eastAsia="宋体" w:cs="宋体"/>
                <w:sz w:val="24"/>
                <w:szCs w:val="24"/>
                <w:lang w:val="en-US" w:eastAsia="zh-CN"/>
              </w:rPr>
              <w:t>实施日期、适用条款；</w:t>
            </w:r>
            <w:r>
              <w:rPr>
                <w:rFonts w:hint="eastAsia" w:ascii="宋体" w:hAnsi="宋体" w:eastAsia="宋体" w:cs="宋体"/>
                <w:sz w:val="24"/>
                <w:szCs w:val="24"/>
                <w:lang w:eastAsia="zh-CN"/>
              </w:rPr>
              <w:t>《中华人民共和国清洁生产促进法》</w:t>
            </w:r>
            <w:r>
              <w:rPr>
                <w:rFonts w:hint="eastAsia" w:ascii="宋体" w:hAnsi="宋体" w:eastAsia="宋体" w:cs="宋体"/>
                <w:sz w:val="24"/>
                <w:szCs w:val="24"/>
              </w:rPr>
              <w:t>发布日期、</w:t>
            </w:r>
            <w:r>
              <w:rPr>
                <w:rFonts w:hint="eastAsia" w:ascii="宋体" w:hAnsi="宋体" w:eastAsia="宋体" w:cs="宋体"/>
                <w:sz w:val="24"/>
                <w:szCs w:val="24"/>
                <w:lang w:val="en-US" w:eastAsia="zh-CN"/>
              </w:rPr>
              <w:t>实施日期、适用条款；</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另抽查</w:t>
            </w:r>
            <w:r>
              <w:rPr>
                <w:rFonts w:hint="eastAsia" w:ascii="宋体" w:hAnsi="宋体" w:eastAsia="宋体" w:cs="宋体"/>
                <w:sz w:val="24"/>
                <w:szCs w:val="24"/>
              </w:rPr>
              <w:t>其他要求</w:t>
            </w:r>
            <w:r>
              <w:rPr>
                <w:rFonts w:hint="eastAsia" w:ascii="宋体" w:hAnsi="宋体" w:eastAsia="宋体" w:cs="宋体"/>
                <w:sz w:val="24"/>
                <w:szCs w:val="24"/>
                <w:lang w:val="en-US" w:eastAsia="zh-CN"/>
              </w:rPr>
              <w:t>若干条：《GBT17167用能计量器具》、《企业能源审计技术通则__GB》、《GBT 15587-2008 工业企业能源管理导则》、《GBT 2587-2009 用能设备能量平衡通则》、《GBT 3484-2009 企业能量平衡通则》等、查“</w:t>
            </w:r>
            <w:r>
              <w:rPr>
                <w:rFonts w:hint="eastAsia" w:ascii="宋体" w:hAnsi="宋体" w:eastAsia="宋体" w:cs="宋体"/>
                <w:sz w:val="24"/>
                <w:szCs w:val="24"/>
              </w:rPr>
              <w:t>发布日期、</w:t>
            </w:r>
            <w:r>
              <w:rPr>
                <w:rFonts w:hint="eastAsia" w:ascii="宋体" w:hAnsi="宋体" w:eastAsia="宋体" w:cs="宋体"/>
                <w:sz w:val="24"/>
                <w:szCs w:val="24"/>
                <w:lang w:val="en-US" w:eastAsia="zh-CN"/>
              </w:rPr>
              <w:t>实施日期、适用条款”等信息基本适于本组织实际情况；</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上述信息来源：网络、政府下达文件等；</w:t>
            </w:r>
          </w:p>
          <w:p>
            <w:pPr>
              <w:jc w:val="left"/>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组织定期对收集的法律法规和其他要求进行了评审、包括“适用性”、“合规性”等；</w:t>
            </w:r>
          </w:p>
        </w:tc>
        <w:tc>
          <w:tcPr>
            <w:tcW w:w="739" w:type="dxa"/>
            <w:vAlign w:val="top"/>
          </w:tcPr>
          <w:p>
            <w:pPr>
              <w:rPr>
                <w:rFonts w:hint="eastAsia" w:ascii="宋体" w:hAnsi="宋体" w:eastAsia="宋体" w:cs="宋体"/>
                <w:sz w:val="24"/>
                <w:szCs w:val="24"/>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确定能源管理体系的范围</w:t>
            </w:r>
          </w:p>
          <w:p/>
        </w:tc>
        <w:tc>
          <w:tcPr>
            <w:tcW w:w="9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4.3 </w:t>
            </w:r>
          </w:p>
          <w:p>
            <w:pPr>
              <w:rPr>
                <w:rFonts w:hint="eastAsia" w:ascii="宋体" w:hAnsi="宋体" w:eastAsia="宋体" w:cs="宋体"/>
                <w:color w:val="auto"/>
                <w:sz w:val="24"/>
                <w:szCs w:val="24"/>
                <w:lang w:val="en-US" w:eastAsia="zh-CN"/>
              </w:rPr>
            </w:pPr>
          </w:p>
        </w:tc>
        <w:tc>
          <w:tcPr>
            <w:tcW w:w="10850" w:type="dxa"/>
            <w:vAlign w:val="center"/>
          </w:tcPr>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查已经成文信息包括：</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1.“内、外部因素”及“相关方及其需求”；  </w:t>
            </w:r>
          </w:p>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组</w:t>
            </w:r>
            <w:r>
              <w:rPr>
                <w:rFonts w:hint="eastAsia" w:ascii="宋体" w:hAnsi="宋体" w:eastAsia="宋体" w:cs="宋体"/>
                <w:sz w:val="24"/>
                <w:szCs w:val="24"/>
                <w:u w:val="single"/>
              </w:rPr>
              <w:t>织界定的</w:t>
            </w:r>
            <w:r>
              <w:rPr>
                <w:rFonts w:hint="eastAsia" w:ascii="宋体" w:hAnsi="宋体" w:eastAsia="宋体" w:cs="宋体"/>
                <w:sz w:val="24"/>
                <w:szCs w:val="24"/>
                <w:u w:val="single"/>
                <w:lang w:eastAsia="zh-CN"/>
              </w:rPr>
              <w:t>能源</w:t>
            </w:r>
            <w:r>
              <w:rPr>
                <w:rFonts w:hint="eastAsia" w:ascii="宋体" w:hAnsi="宋体" w:eastAsia="宋体" w:cs="宋体"/>
                <w:sz w:val="24"/>
                <w:szCs w:val="24"/>
                <w:u w:val="single"/>
              </w:rPr>
              <w:t>管理体系的</w:t>
            </w:r>
            <w:r>
              <w:rPr>
                <w:rFonts w:hint="eastAsia" w:ascii="宋体" w:hAnsi="宋体" w:eastAsia="宋体" w:cs="宋体"/>
                <w:sz w:val="24"/>
                <w:szCs w:val="24"/>
              </w:rPr>
              <w:t>范围</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lang w:val="en-US" w:eastAsia="zh-CN"/>
              </w:rPr>
              <w:t>位于湖北省谷城县石花镇(杨溪湾)经济开发区123号湖北谷城县东华机械股份有限公司，资质许可范围内汽车、工程车用钢铸件生产所涉及的能源采购、转换、输运及使用的相关管理活动</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查</w:t>
            </w:r>
            <w:r>
              <w:rPr>
                <w:rFonts w:hint="eastAsia" w:ascii="宋体" w:hAnsi="宋体" w:eastAsia="宋体" w:cs="宋体"/>
                <w:sz w:val="24"/>
                <w:szCs w:val="24"/>
                <w:lang w:val="en-US" w:eastAsia="zh-CN"/>
              </w:rPr>
              <w:t>组织</w:t>
            </w:r>
            <w:r>
              <w:rPr>
                <w:rFonts w:hint="eastAsia" w:ascii="宋体" w:hAnsi="宋体" w:cs="宋体"/>
                <w:sz w:val="24"/>
                <w:szCs w:val="24"/>
                <w:lang w:val="en-US" w:eastAsia="zh-CN"/>
              </w:rPr>
              <w:t>承诺可以</w:t>
            </w:r>
            <w:r>
              <w:rPr>
                <w:rFonts w:hint="eastAsia" w:ascii="宋体" w:hAnsi="宋体" w:eastAsia="宋体" w:cs="宋体"/>
                <w:sz w:val="24"/>
                <w:szCs w:val="24"/>
                <w:lang w:val="en-US" w:eastAsia="zh-CN"/>
              </w:rPr>
              <w:t>确保在组织管理范围及边界内，能够控制其能源效率、能源使用和能源消耗。</w:t>
            </w:r>
          </w:p>
          <w:p>
            <w:pPr>
              <w:numPr>
                <w:ilvl w:val="0"/>
                <w:numId w:val="0"/>
              </w:numPr>
              <w:ind w:left="0" w:leftChars="0" w:firstLine="0" w:firstLineChars="0"/>
              <w:rPr>
                <w:rFonts w:hint="default" w:ascii="宋体" w:hAnsi="宋体" w:eastAsia="宋体" w:cs="宋体"/>
                <w:color w:val="auto"/>
                <w:sz w:val="24"/>
                <w:szCs w:val="24"/>
                <w:lang w:val="en-US" w:eastAsia="zh-CN"/>
              </w:rPr>
            </w:pPr>
            <w:r>
              <w:rPr>
                <w:rFonts w:hint="eastAsia" w:ascii="宋体" w:hAnsi="宋体" w:cs="宋体"/>
                <w:sz w:val="24"/>
                <w:szCs w:val="24"/>
                <w:lang w:val="en-US" w:eastAsia="zh-CN"/>
              </w:rPr>
              <w:t>查</w:t>
            </w:r>
            <w:r>
              <w:rPr>
                <w:rFonts w:hint="eastAsia" w:ascii="宋体" w:hAnsi="宋体" w:eastAsia="宋体" w:cs="宋体"/>
                <w:sz w:val="24"/>
                <w:szCs w:val="24"/>
                <w:lang w:val="en-US" w:eastAsia="zh-CN"/>
              </w:rPr>
              <w:t>组织</w:t>
            </w:r>
            <w:r>
              <w:rPr>
                <w:rFonts w:hint="eastAsia" w:ascii="宋体" w:hAnsi="宋体" w:cs="宋体"/>
                <w:sz w:val="24"/>
                <w:szCs w:val="24"/>
                <w:u w:val="single"/>
                <w:lang w:val="en-US" w:eastAsia="zh-CN"/>
              </w:rPr>
              <w:t>未</w:t>
            </w:r>
            <w:r>
              <w:rPr>
                <w:rFonts w:hint="eastAsia" w:ascii="宋体" w:hAnsi="宋体" w:eastAsia="宋体" w:cs="宋体"/>
                <w:sz w:val="24"/>
                <w:szCs w:val="24"/>
                <w:u w:val="single"/>
                <w:lang w:val="en-US" w:eastAsia="zh-CN"/>
              </w:rPr>
              <w:t>在</w:t>
            </w:r>
            <w:r>
              <w:rPr>
                <w:rFonts w:hint="eastAsia" w:ascii="宋体" w:hAnsi="宋体" w:cs="宋体"/>
                <w:sz w:val="24"/>
                <w:szCs w:val="24"/>
                <w:u w:val="single"/>
                <w:lang w:val="en-US" w:eastAsia="zh-CN"/>
              </w:rPr>
              <w:t>能源</w:t>
            </w:r>
            <w:r>
              <w:rPr>
                <w:rFonts w:hint="eastAsia" w:ascii="宋体" w:hAnsi="宋体" w:eastAsia="宋体" w:cs="宋体"/>
                <w:sz w:val="24"/>
                <w:szCs w:val="24"/>
                <w:u w:val="single"/>
                <w:lang w:val="en-US" w:eastAsia="zh-CN"/>
              </w:rPr>
              <w:t>范围</w:t>
            </w:r>
            <w:r>
              <w:rPr>
                <w:rFonts w:hint="eastAsia" w:ascii="宋体" w:hAnsi="宋体" w:eastAsia="宋体" w:cs="宋体"/>
                <w:sz w:val="24"/>
                <w:szCs w:val="24"/>
                <w:lang w:val="en-US" w:eastAsia="zh-CN"/>
              </w:rPr>
              <w:t>和边界内，</w:t>
            </w:r>
            <w:r>
              <w:rPr>
                <w:rFonts w:hint="eastAsia" w:ascii="宋体" w:hAnsi="宋体" w:eastAsia="宋体" w:cs="宋体"/>
                <w:sz w:val="24"/>
                <w:szCs w:val="24"/>
                <w:u w:val="single"/>
                <w:lang w:val="en-US" w:eastAsia="zh-CN"/>
              </w:rPr>
              <w:t>去除能源消耗</w:t>
            </w:r>
            <w:r>
              <w:rPr>
                <w:rFonts w:hint="eastAsia" w:ascii="宋体" w:hAnsi="宋体" w:eastAsia="宋体" w:cs="宋体"/>
                <w:sz w:val="24"/>
                <w:szCs w:val="24"/>
                <w:lang w:val="en-US" w:eastAsia="zh-CN"/>
              </w:rPr>
              <w:t>点。</w:t>
            </w:r>
          </w:p>
        </w:tc>
        <w:tc>
          <w:tcPr>
            <w:tcW w:w="739" w:type="dxa"/>
            <w:vAlign w:val="top"/>
          </w:tcPr>
          <w:p>
            <w:pPr>
              <w:rPr>
                <w:rFonts w:hint="default"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160" w:type="dxa"/>
            <w:vAlign w:val="top"/>
          </w:tcPr>
          <w:p>
            <w:r>
              <w:rPr>
                <w:rFonts w:hint="eastAsia" w:ascii="宋体" w:hAnsi="宋体" w:eastAsia="宋体" w:cs="宋体"/>
                <w:sz w:val="24"/>
                <w:szCs w:val="24"/>
              </w:rPr>
              <w:t>能源管理体系</w:t>
            </w:r>
          </w:p>
        </w:tc>
        <w:tc>
          <w:tcPr>
            <w:tcW w:w="960" w:type="dxa"/>
            <w:vAlign w:val="top"/>
          </w:tcPr>
          <w:p>
            <w:pPr>
              <w:rPr>
                <w:rFonts w:hint="eastAsia" w:ascii="宋体" w:hAnsi="宋体" w:eastAsia="宋体" w:cs="宋体"/>
                <w:sz w:val="24"/>
                <w:szCs w:val="24"/>
              </w:rPr>
            </w:pPr>
            <w:r>
              <w:rPr>
                <w:rFonts w:hint="eastAsia" w:ascii="宋体" w:hAnsi="宋体" w:eastAsia="宋体" w:cs="宋体"/>
                <w:sz w:val="24"/>
                <w:szCs w:val="24"/>
              </w:rPr>
              <w:t>4.4</w:t>
            </w:r>
          </w:p>
          <w:p/>
        </w:tc>
        <w:tc>
          <w:tcPr>
            <w:tcW w:w="10850"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查组织基本做到</w:t>
            </w:r>
            <w:r>
              <w:rPr>
                <w:rFonts w:hint="eastAsia" w:ascii="宋体" w:hAnsi="宋体" w:eastAsia="宋体" w:cs="宋体"/>
                <w:sz w:val="24"/>
                <w:szCs w:val="24"/>
                <w:lang w:val="en-US" w:eastAsia="zh-CN"/>
              </w:rPr>
              <w:t>了：</w:t>
            </w:r>
          </w:p>
          <w:p>
            <w:pPr>
              <w:rPr>
                <w:rFonts w:hint="eastAsia" w:ascii="宋体" w:hAnsi="宋体" w:eastAsia="宋体" w:cs="宋体"/>
                <w:sz w:val="24"/>
                <w:szCs w:val="24"/>
              </w:rPr>
            </w:pPr>
            <w:r>
              <w:rPr>
                <w:rFonts w:hint="eastAsia" w:ascii="宋体" w:hAnsi="宋体" w:eastAsia="宋体" w:cs="宋体"/>
                <w:sz w:val="24"/>
                <w:szCs w:val="24"/>
              </w:rPr>
              <w:t>按</w:t>
            </w:r>
            <w:r>
              <w:rPr>
                <w:rFonts w:hint="eastAsia" w:ascii="宋体" w:hAnsi="宋体" w:eastAsia="宋体" w:cs="宋体"/>
                <w:color w:val="0000FF"/>
                <w:sz w:val="24"/>
                <w:szCs w:val="24"/>
              </w:rPr>
              <w:t>GB/T</w:t>
            </w:r>
            <w:r>
              <w:rPr>
                <w:rFonts w:hint="eastAsia" w:ascii="宋体" w:hAnsi="宋体" w:cs="宋体"/>
                <w:color w:val="0000FF"/>
                <w:sz w:val="24"/>
                <w:szCs w:val="24"/>
                <w:lang w:val="en-US" w:eastAsia="zh-CN"/>
              </w:rPr>
              <w:t>23331</w:t>
            </w:r>
            <w:r>
              <w:rPr>
                <w:rFonts w:hint="eastAsia" w:ascii="宋体" w:hAnsi="宋体" w:eastAsia="宋体" w:cs="宋体"/>
                <w:color w:val="0000FF"/>
                <w:sz w:val="24"/>
                <w:szCs w:val="24"/>
                <w:lang w:val="en-US" w:eastAsia="zh-CN"/>
              </w:rPr>
              <w:t>1</w:t>
            </w:r>
            <w:r>
              <w:rPr>
                <w:rFonts w:hint="eastAsia" w:ascii="宋体" w:hAnsi="宋体" w:eastAsia="宋体" w:cs="宋体"/>
                <w:color w:val="0000FF"/>
                <w:sz w:val="24"/>
                <w:szCs w:val="24"/>
              </w:rPr>
              <w:t>-20</w:t>
            </w:r>
            <w:r>
              <w:rPr>
                <w:rFonts w:hint="eastAsia" w:ascii="宋体" w:hAnsi="宋体" w:cs="宋体"/>
                <w:color w:val="0000FF"/>
                <w:sz w:val="24"/>
                <w:szCs w:val="24"/>
                <w:lang w:val="en-US" w:eastAsia="zh-CN"/>
              </w:rPr>
              <w:t>20</w:t>
            </w:r>
            <w:r>
              <w:rPr>
                <w:rFonts w:hint="eastAsia" w:ascii="宋体" w:hAnsi="宋体" w:eastAsia="宋体" w:cs="宋体"/>
                <w:color w:val="0000FF"/>
                <w:sz w:val="24"/>
                <w:szCs w:val="24"/>
              </w:rPr>
              <w:t>《能源管理体系 要求》</w:t>
            </w:r>
            <w:r>
              <w:rPr>
                <w:rFonts w:hint="eastAsia" w:ascii="宋体" w:hAnsi="宋体" w:eastAsia="宋体" w:cs="宋体"/>
                <w:sz w:val="24"/>
                <w:szCs w:val="24"/>
              </w:rPr>
              <w:t>的要求，结合本公司的生产经营活动、产品和服务的实际建立能源管理体系，形成文件，实施、保持和持续改进能源管理。</w:t>
            </w:r>
          </w:p>
          <w:p>
            <w:pPr>
              <w:rPr>
                <w:rFonts w:hint="eastAsia" w:ascii="宋体" w:hAnsi="宋体" w:eastAsia="宋体" w:cs="宋体"/>
                <w:sz w:val="24"/>
                <w:szCs w:val="24"/>
              </w:rPr>
            </w:pPr>
            <w:r>
              <w:rPr>
                <w:rFonts w:hint="eastAsia" w:ascii="宋体" w:hAnsi="宋体" w:eastAsia="宋体" w:cs="宋体"/>
                <w:sz w:val="24"/>
                <w:szCs w:val="24"/>
              </w:rPr>
              <w:t>识别</w:t>
            </w:r>
            <w:r>
              <w:rPr>
                <w:rFonts w:hint="eastAsia" w:ascii="宋体" w:hAnsi="宋体" w:eastAsia="宋体" w:cs="宋体"/>
                <w:sz w:val="24"/>
                <w:szCs w:val="24"/>
                <w:lang w:val="en-US" w:eastAsia="zh-CN"/>
              </w:rPr>
              <w:t>了</w:t>
            </w:r>
            <w:r>
              <w:rPr>
                <w:rFonts w:hint="eastAsia" w:ascii="宋体" w:hAnsi="宋体" w:eastAsia="宋体" w:cs="宋体"/>
                <w:sz w:val="24"/>
                <w:szCs w:val="24"/>
              </w:rPr>
              <w:t>产品、活动和服务中能够控制或可施加影响的能源使用，确定优先控制的重要能源使用；确定本公司适用的法律法规和其他要求；建立适当的能源目标、指标和能源管理方案；</w:t>
            </w:r>
          </w:p>
          <w:p>
            <w:pPr>
              <w:rPr>
                <w:rFonts w:hint="eastAsia" w:ascii="宋体" w:hAnsi="宋体" w:eastAsia="宋体" w:cs="宋体"/>
                <w:sz w:val="24"/>
                <w:szCs w:val="24"/>
              </w:rPr>
            </w:pPr>
            <w:r>
              <w:rPr>
                <w:rFonts w:hint="eastAsia" w:ascii="宋体" w:hAnsi="宋体" w:eastAsia="宋体" w:cs="宋体"/>
                <w:sz w:val="24"/>
                <w:szCs w:val="24"/>
              </w:rPr>
              <w:t>开展策划、控制、监测、纠正、审核与评审活动，以确保对能源方针的遵守和能源管理体系的持续适应性。</w:t>
            </w:r>
          </w:p>
        </w:tc>
        <w:tc>
          <w:tcPr>
            <w:tcW w:w="739" w:type="dxa"/>
            <w:vAlign w:val="top"/>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r>
              <w:rPr>
                <w:rFonts w:hint="eastAsia" w:ascii="宋体" w:hAnsi="宋体" w:eastAsia="宋体" w:cs="宋体"/>
                <w:sz w:val="24"/>
                <w:szCs w:val="24"/>
              </w:rPr>
              <w:t>领导作用与承诺</w:t>
            </w:r>
          </w:p>
        </w:tc>
        <w:tc>
          <w:tcPr>
            <w:tcW w:w="960" w:type="dxa"/>
            <w:vAlign w:val="top"/>
          </w:tcPr>
          <w:p>
            <w:pPr>
              <w:rPr>
                <w:rFonts w:hint="eastAsia" w:ascii="宋体" w:hAnsi="宋体" w:eastAsia="宋体" w:cs="宋体"/>
                <w:sz w:val="24"/>
                <w:szCs w:val="24"/>
              </w:rPr>
            </w:pPr>
            <w:r>
              <w:rPr>
                <w:rFonts w:hint="eastAsia" w:ascii="宋体" w:hAnsi="宋体" w:eastAsia="宋体" w:cs="宋体"/>
                <w:sz w:val="24"/>
                <w:szCs w:val="24"/>
              </w:rPr>
              <w:t xml:space="preserve">5.1 </w:t>
            </w:r>
          </w:p>
          <w:p>
            <w:pPr>
              <w:rPr>
                <w:rFonts w:hint="default" w:ascii="宋体" w:hAnsi="宋体" w:cs="宋体"/>
                <w:color w:val="auto"/>
                <w:sz w:val="24"/>
                <w:szCs w:val="24"/>
                <w:lang w:val="en-US" w:eastAsia="zh-CN"/>
              </w:rPr>
            </w:pPr>
          </w:p>
        </w:tc>
        <w:tc>
          <w:tcPr>
            <w:tcW w:w="10850" w:type="dxa"/>
            <w:vAlign w:val="center"/>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通过</w:t>
            </w:r>
            <w:r>
              <w:rPr>
                <w:rFonts w:hint="eastAsia" w:ascii="宋体" w:hAnsi="宋体" w:eastAsia="宋体" w:cs="宋体"/>
                <w:sz w:val="24"/>
                <w:szCs w:val="24"/>
                <w:lang w:val="en-US" w:eastAsia="zh-CN"/>
              </w:rPr>
              <w:t>交流</w:t>
            </w:r>
            <w:r>
              <w:rPr>
                <w:rFonts w:hint="eastAsia" w:ascii="宋体" w:hAnsi="宋体" w:cs="宋体"/>
                <w:sz w:val="24"/>
                <w:szCs w:val="24"/>
                <w:lang w:val="en-US" w:eastAsia="zh-CN"/>
              </w:rPr>
              <w:t>可知最高管理者已经</w:t>
            </w:r>
            <w:r>
              <w:rPr>
                <w:rFonts w:hint="eastAsia" w:ascii="宋体" w:hAnsi="宋体" w:eastAsia="宋体" w:cs="宋体"/>
                <w:sz w:val="24"/>
                <w:szCs w:val="24"/>
                <w:lang w:val="en-US"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a）</w:t>
            </w:r>
            <w:r>
              <w:rPr>
                <w:rFonts w:hint="eastAsia" w:ascii="宋体" w:hAnsi="宋体" w:eastAsia="宋体" w:cs="宋体"/>
                <w:sz w:val="24"/>
                <w:szCs w:val="24"/>
              </w:rPr>
              <w:tab/>
            </w:r>
            <w:r>
              <w:rPr>
                <w:rFonts w:hint="eastAsia" w:ascii="宋体" w:hAnsi="宋体" w:eastAsia="宋体" w:cs="宋体"/>
                <w:sz w:val="24"/>
                <w:szCs w:val="24"/>
              </w:rPr>
              <w:t>确保建立EnMS范围和边界</w:t>
            </w:r>
            <w:r>
              <w:rPr>
                <w:rFonts w:hint="eastAsia" w:ascii="宋体" w:hAnsi="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rPr>
              <w:tab/>
            </w:r>
            <w:r>
              <w:rPr>
                <w:rFonts w:hint="eastAsia" w:ascii="宋体" w:hAnsi="宋体" w:eastAsia="宋体" w:cs="宋体"/>
                <w:sz w:val="24"/>
                <w:szCs w:val="24"/>
              </w:rPr>
              <w:t>确保建立能源方针、目标和能源指标，并确保与其组织的战略方向相一致；</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cs="宋体"/>
                <w:sz w:val="24"/>
                <w:szCs w:val="24"/>
                <w:lang w:eastAsia="zh-CN"/>
              </w:rPr>
            </w:pPr>
            <w:r>
              <w:rPr>
                <w:rFonts w:hint="eastAsia" w:ascii="宋体" w:hAnsi="宋体" w:eastAsia="宋体" w:cs="宋体"/>
                <w:sz w:val="24"/>
                <w:szCs w:val="24"/>
              </w:rPr>
              <w:t>c）</w:t>
            </w:r>
            <w:r>
              <w:rPr>
                <w:rFonts w:hint="eastAsia" w:ascii="宋体" w:hAnsi="宋体" w:eastAsia="宋体" w:cs="宋体"/>
                <w:sz w:val="24"/>
                <w:szCs w:val="24"/>
              </w:rPr>
              <w:tab/>
            </w:r>
            <w:r>
              <w:rPr>
                <w:rFonts w:hint="eastAsia" w:ascii="宋体" w:hAnsi="宋体" w:eastAsia="宋体" w:cs="宋体"/>
                <w:sz w:val="24"/>
                <w:szCs w:val="24"/>
              </w:rPr>
              <w:t>确保将能源管理体系要求融入到组织的业务流程中</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eastAsia="宋体" w:cs="宋体"/>
                <w:sz w:val="24"/>
                <w:szCs w:val="24"/>
                <w:lang w:eastAsia="zh-CN"/>
              </w:rPr>
            </w:pPr>
            <w:r>
              <w:rPr>
                <w:rFonts w:hint="eastAsia" w:ascii="宋体" w:hAnsi="宋体" w:cs="宋体"/>
                <w:b w:val="0"/>
                <w:bCs w:val="0"/>
                <w:color w:val="auto"/>
                <w:sz w:val="24"/>
                <w:szCs w:val="24"/>
                <w:lang w:val="en-US" w:eastAsia="zh-CN"/>
              </w:rPr>
              <w:t>包括</w:t>
            </w:r>
            <w:r>
              <w:rPr>
                <w:rFonts w:hint="eastAsia" w:ascii="宋体" w:hAnsi="宋体" w:eastAsia="宋体" w:cs="宋体"/>
                <w:b w:val="0"/>
                <w:bCs w:val="0"/>
                <w:color w:val="auto"/>
                <w:sz w:val="24"/>
                <w:szCs w:val="24"/>
                <w:lang w:val="en-US" w:eastAsia="zh-CN"/>
              </w:rPr>
              <w:t>确保</w:t>
            </w:r>
            <w:r>
              <w:rPr>
                <w:rFonts w:hint="eastAsia" w:ascii="宋体" w:hAnsi="宋体" w:cs="宋体"/>
                <w:b w:val="0"/>
                <w:bCs w:val="0"/>
                <w:color w:val="auto"/>
                <w:sz w:val="24"/>
                <w:szCs w:val="24"/>
                <w:lang w:val="en-US" w:eastAsia="zh-CN"/>
              </w:rPr>
              <w:t>能源</w:t>
            </w:r>
            <w:r>
              <w:rPr>
                <w:rFonts w:hint="eastAsia" w:ascii="宋体" w:hAnsi="宋体" w:eastAsia="宋体" w:cs="宋体"/>
                <w:b w:val="0"/>
                <w:bCs w:val="0"/>
                <w:color w:val="auto"/>
                <w:sz w:val="24"/>
                <w:szCs w:val="24"/>
                <w:lang w:val="en-US" w:eastAsia="zh-CN"/>
              </w:rPr>
              <w:t xml:space="preserve">管理体系和本组织的相关职能部门及过程的接口和融入、这包括设计开发、生产及仓储物流、原材料的采购、过程的监视和测量等均按照标准要求制定了让相关的程序文件和作业指导书、提供了过程的监视和质量目标的监视、完成了内审和管评的过程等； </w:t>
            </w:r>
          </w:p>
          <w:p>
            <w:pPr>
              <w:rPr>
                <w:rFonts w:hint="eastAsia" w:ascii="宋体" w:hAnsi="宋体" w:cs="宋体"/>
                <w:sz w:val="24"/>
                <w:szCs w:val="24"/>
                <w:lang w:eastAsia="zh-CN"/>
              </w:rPr>
            </w:pPr>
            <w:r>
              <w:rPr>
                <w:rFonts w:hint="eastAsia" w:ascii="宋体" w:hAnsi="宋体" w:eastAsia="宋体" w:cs="宋体"/>
                <w:sz w:val="24"/>
                <w:szCs w:val="24"/>
              </w:rPr>
              <w:t>d）</w:t>
            </w:r>
            <w:r>
              <w:rPr>
                <w:rFonts w:hint="eastAsia" w:ascii="宋体" w:hAnsi="宋体" w:eastAsia="宋体" w:cs="宋体"/>
                <w:sz w:val="24"/>
                <w:szCs w:val="24"/>
              </w:rPr>
              <w:tab/>
            </w:r>
            <w:r>
              <w:rPr>
                <w:rFonts w:hint="eastAsia" w:ascii="宋体" w:hAnsi="宋体" w:eastAsia="宋体" w:cs="宋体"/>
                <w:sz w:val="24"/>
                <w:szCs w:val="24"/>
              </w:rPr>
              <w:t>确保策划方案得到批准和实施</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e）</w:t>
            </w:r>
            <w:r>
              <w:rPr>
                <w:rFonts w:hint="eastAsia" w:ascii="宋体" w:hAnsi="宋体" w:eastAsia="宋体" w:cs="宋体"/>
                <w:sz w:val="24"/>
                <w:szCs w:val="24"/>
              </w:rPr>
              <w:tab/>
            </w:r>
            <w:r>
              <w:rPr>
                <w:rFonts w:hint="eastAsia" w:ascii="宋体" w:hAnsi="宋体" w:eastAsia="宋体" w:cs="宋体"/>
                <w:sz w:val="24"/>
                <w:szCs w:val="24"/>
              </w:rPr>
              <w:t>确保可获得EnMS所需的资源</w:t>
            </w:r>
            <w:r>
              <w:rPr>
                <w:rFonts w:hint="eastAsia" w:ascii="宋体" w:hAnsi="宋体" w:cs="宋体"/>
                <w:sz w:val="24"/>
                <w:szCs w:val="24"/>
                <w:lang w:eastAsia="zh-CN"/>
              </w:rPr>
              <w:t>；</w:t>
            </w:r>
            <w:r>
              <w:rPr>
                <w:rFonts w:hint="eastAsia" w:ascii="宋体" w:hAnsi="宋体" w:eastAsia="宋体" w:cs="宋体"/>
                <w:b w:val="0"/>
                <w:bCs w:val="0"/>
                <w:color w:val="auto"/>
                <w:sz w:val="24"/>
                <w:szCs w:val="24"/>
                <w:lang w:val="en-US" w:eastAsia="zh-CN"/>
              </w:rPr>
              <w:t>组织明确了体系要求的在人力物力财力方面的需求，及那些受到约束的条件并形成文件信息予以保留；</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rPr>
              <w:t>f）就有效能源管理的重要性和符合能源管理体系要求的重要性进行沟通；</w:t>
            </w:r>
            <w:r>
              <w:rPr>
                <w:rFonts w:hint="eastAsia" w:ascii="宋体" w:hAnsi="宋体" w:eastAsia="宋体" w:cs="宋体"/>
                <w:b w:val="0"/>
                <w:bCs w:val="0"/>
                <w:color w:val="auto"/>
                <w:sz w:val="24"/>
                <w:szCs w:val="24"/>
                <w:lang w:val="en-US" w:eastAsia="zh-CN"/>
              </w:rPr>
              <w:t>通过内部会议、邮件、讨论等形式获取有价值的沟通等；</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g）确保能源管理体系实现其预期的结果</w:t>
            </w:r>
            <w:r>
              <w:rPr>
                <w:rFonts w:hint="eastAsia" w:ascii="宋体" w:hAnsi="宋体" w:cs="宋体"/>
                <w:sz w:val="24"/>
                <w:szCs w:val="24"/>
                <w:lang w:eastAsia="zh-CN"/>
              </w:rPr>
              <w:t>；</w:t>
            </w:r>
            <w:r>
              <w:rPr>
                <w:rFonts w:hint="eastAsia" w:ascii="宋体" w:hAnsi="宋体" w:eastAsia="宋体" w:cs="宋体"/>
                <w:b w:val="0"/>
                <w:bCs w:val="0"/>
                <w:color w:val="auto"/>
                <w:sz w:val="24"/>
                <w:szCs w:val="24"/>
                <w:lang w:val="en-US" w:eastAsia="zh-CN"/>
              </w:rPr>
              <w:t>监视质量管理体系的输出、确保纠正措施落实到个人或团队；</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h）促进能源管理体系和能源绩效的持续改进；</w:t>
            </w:r>
            <w:r>
              <w:rPr>
                <w:rFonts w:hint="eastAsia" w:ascii="宋体" w:hAnsi="宋体" w:eastAsia="宋体" w:cs="宋体"/>
                <w:b w:val="0"/>
                <w:bCs w:val="0"/>
                <w:color w:val="auto"/>
                <w:sz w:val="24"/>
                <w:szCs w:val="24"/>
                <w:lang w:val="en-US" w:eastAsia="zh-CN"/>
              </w:rPr>
              <w:t>内审、管评、第三方审核等提出的一家和建议在内部沟通；</w:t>
            </w:r>
          </w:p>
          <w:p>
            <w:pPr>
              <w:rPr>
                <w:rFonts w:hint="eastAsia" w:ascii="宋体" w:hAnsi="宋体" w:eastAsia="宋体" w:cs="宋体"/>
                <w:sz w:val="24"/>
                <w:szCs w:val="24"/>
                <w:lang w:eastAsia="zh-CN"/>
              </w:rPr>
            </w:pPr>
            <w:r>
              <w:rPr>
                <w:rFonts w:hint="eastAsia" w:ascii="宋体" w:hAnsi="宋体" w:eastAsia="宋体" w:cs="宋体"/>
                <w:sz w:val="24"/>
                <w:szCs w:val="24"/>
              </w:rPr>
              <w:t>i）确保组建能源管理团队</w:t>
            </w:r>
            <w:r>
              <w:rPr>
                <w:rFonts w:hint="eastAsia" w:ascii="宋体" w:hAnsi="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j）指导并支持员工对能源管理体系的有效性和能源绩效改进作出贡献</w:t>
            </w:r>
            <w:r>
              <w:rPr>
                <w:rFonts w:hint="eastAsia" w:ascii="宋体" w:hAnsi="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k）支持其他相关的管理人员在其职责范围内执行其领导作用</w:t>
            </w:r>
            <w:r>
              <w:rPr>
                <w:rFonts w:hint="eastAsia" w:ascii="宋体" w:hAnsi="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l）确保EnPI（s）恰当地表示能源性能</w:t>
            </w:r>
            <w:r>
              <w:rPr>
                <w:rFonts w:hint="eastAsia" w:ascii="宋体" w:hAnsi="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m）确保建立和实施流程，以识别和确定在能源管理体系范围和边界内能源管理体系和能源绩效的变化影响。</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宋体" w:hAnsi="宋体" w:cs="宋体"/>
                <w:color w:val="auto"/>
                <w:sz w:val="24"/>
                <w:szCs w:val="24"/>
                <w:lang w:val="en-US" w:eastAsia="zh-CN"/>
              </w:rPr>
            </w:pP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现场审核管理层的行为、态度和决定之间基本一致，日常的态度严谨认真、可以做到以身作则、及和部属的有效沟通；另查书面的承诺及质量管理体系的绩效结果等基本符合规定；</w:t>
            </w:r>
          </w:p>
        </w:tc>
        <w:tc>
          <w:tcPr>
            <w:tcW w:w="739" w:type="dxa"/>
            <w:vAlign w:val="top"/>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2160" w:type="dxa"/>
            <w:vAlign w:val="top"/>
          </w:tcPr>
          <w:p>
            <w:r>
              <w:rPr>
                <w:rFonts w:hint="eastAsia" w:ascii="宋体" w:hAnsi="宋体" w:eastAsia="宋体" w:cs="宋体"/>
                <w:sz w:val="24"/>
                <w:szCs w:val="24"/>
              </w:rPr>
              <w:t>能源方针</w:t>
            </w:r>
          </w:p>
        </w:tc>
        <w:tc>
          <w:tcPr>
            <w:tcW w:w="960" w:type="dxa"/>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5.2 </w:t>
            </w:r>
          </w:p>
          <w:p>
            <w:pPr>
              <w:rPr>
                <w:rFonts w:hint="eastAsia" w:ascii="宋体" w:hAnsi="宋体" w:eastAsia="宋体" w:cs="宋体"/>
                <w:b w:val="0"/>
                <w:bCs w:val="0"/>
                <w:color w:val="auto"/>
                <w:sz w:val="24"/>
                <w:szCs w:val="24"/>
                <w:lang w:val="en-US" w:eastAsia="zh-CN"/>
              </w:rPr>
            </w:pPr>
          </w:p>
        </w:tc>
        <w:tc>
          <w:tcPr>
            <w:tcW w:w="10850" w:type="dxa"/>
            <w:vAlign w:val="center"/>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组织的能源方针：</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“遵守法规 清洁生产；节能降耗 创新改造；能耗限额 持续改进”、</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包含了“以确保实现目标和能源指标的必要的资源和有效的信息、以满足适用的法律要求和能源效率、能源使用和能源消耗相关的其他要求、以获得能源管理体系和能源绩效的持续改进、支持能影响能源绩效的节能产品和服务的采购、支持考虑能源绩效改进活动的设计”、且予以发布——基本符合规定；</w:t>
            </w:r>
          </w:p>
        </w:tc>
        <w:tc>
          <w:tcPr>
            <w:tcW w:w="739" w:type="dxa"/>
            <w:vAlign w:val="top"/>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组织的岗位、职责和权限</w:t>
            </w:r>
          </w:p>
          <w:p/>
        </w:tc>
        <w:tc>
          <w:tcPr>
            <w:tcW w:w="960" w:type="dxa"/>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5.3 </w:t>
            </w:r>
          </w:p>
          <w:p>
            <w:pPr>
              <w:rPr>
                <w:rFonts w:hint="eastAsia" w:ascii="宋体" w:hAnsi="宋体" w:eastAsia="宋体" w:cs="宋体"/>
                <w:b w:val="0"/>
                <w:bCs w:val="0"/>
                <w:color w:val="auto"/>
                <w:sz w:val="24"/>
                <w:szCs w:val="24"/>
                <w:lang w:val="en-US" w:eastAsia="zh-CN"/>
              </w:rPr>
            </w:pPr>
          </w:p>
        </w:tc>
        <w:tc>
          <w:tcPr>
            <w:tcW w:w="10850" w:type="dxa"/>
            <w:vAlign w:val="top"/>
          </w:tcPr>
          <w:p>
            <w:pP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查</w:t>
            </w:r>
            <w:r>
              <w:rPr>
                <w:rFonts w:hint="eastAsia" w:ascii="宋体" w:hAnsi="宋体" w:eastAsia="宋体" w:cs="宋体"/>
                <w:b w:val="0"/>
                <w:bCs w:val="0"/>
                <w:color w:val="auto"/>
                <w:sz w:val="24"/>
                <w:szCs w:val="24"/>
                <w:lang w:val="en-US" w:eastAsia="zh-CN"/>
              </w:rPr>
              <w:t>最高管理者</w:t>
            </w:r>
            <w:r>
              <w:rPr>
                <w:rFonts w:hint="eastAsia" w:ascii="宋体" w:hAnsi="宋体" w:cs="宋体"/>
                <w:b w:val="0"/>
                <w:bCs w:val="0"/>
                <w:color w:val="auto"/>
                <w:sz w:val="24"/>
                <w:szCs w:val="24"/>
                <w:lang w:val="en-US" w:eastAsia="zh-CN"/>
              </w:rPr>
              <w:t xml:space="preserve"> 可以</w:t>
            </w:r>
            <w:r>
              <w:rPr>
                <w:rFonts w:hint="eastAsia" w:ascii="宋体" w:hAnsi="宋体" w:eastAsia="宋体" w:cs="宋体"/>
                <w:b w:val="0"/>
                <w:bCs w:val="0"/>
                <w:color w:val="auto"/>
                <w:sz w:val="24"/>
                <w:szCs w:val="24"/>
                <w:lang w:val="en-US" w:eastAsia="zh-CN"/>
              </w:rPr>
              <w:t>确保组织内相关角色的职责和权限得到分配和沟通。</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最高管理者分配给能源管理团队职责和权力</w:t>
            </w:r>
            <w:r>
              <w:rPr>
                <w:rFonts w:hint="eastAsia" w:ascii="宋体" w:hAnsi="宋体" w:cs="宋体"/>
                <w:b w:val="0"/>
                <w:bCs w:val="0"/>
                <w:color w:val="auto"/>
                <w:sz w:val="24"/>
                <w:szCs w:val="24"/>
                <w:lang w:val="en-US" w:eastAsia="zh-CN"/>
              </w:rPr>
              <w:t>包括</w:t>
            </w:r>
            <w:r>
              <w:rPr>
                <w:rFonts w:hint="eastAsia" w:ascii="宋体" w:hAnsi="宋体" w:eastAsia="宋体" w:cs="宋体"/>
                <w:b w:val="0"/>
                <w:bCs w:val="0"/>
                <w:color w:val="auto"/>
                <w:sz w:val="24"/>
                <w:szCs w:val="24"/>
                <w:lang w:val="en-US" w:eastAsia="zh-CN"/>
              </w:rPr>
              <w:t>:</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a)确保环境管理体系的建立、实施、维护和持续改进;</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b)确保EnMS符合本文件的要求;</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c)执行行动计划(见6.2)，持续改善能源性能;</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d)定期向最高管理层汇报EnMS的绩效和能源绩效的改善情况;</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e)建立标准和方法，以确保EnMS的操作和控制是有效的。 </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最高管理者管理职责和权限：</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⑴ 确定能源方针，并实践和保持能源方针；</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⑵ 任命管理者代表和批准组建能源管理团队；</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⑶ 提供能源管理体系建立、实施、保持和持续改进所需要的资源，以达到能源绩效目标（资源包括人力资源、专业技能、技术和财务资源等）。</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⑷ 确定能源管理体系的范围和边界；</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⑸ 在内部传达能源管理的重要性；</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⑹ 确保建立能源目标、指标；</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⑺ 确保能源绩效参数适用于本公司；</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⑻ 在长期规划中考虑能源绩效问题；</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⑼ 确保按照规定的时间间隔评价和报告能源管理的结果；</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⑽ 实施管理评审。</w:t>
            </w:r>
          </w:p>
          <w:p>
            <w:pP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——查上述内容在最高管理者的工作中基本得到体现。</w:t>
            </w:r>
          </w:p>
        </w:tc>
        <w:tc>
          <w:tcPr>
            <w:tcW w:w="739" w:type="dxa"/>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2160" w:type="dxa"/>
            <w:vAlign w:val="top"/>
          </w:tcPr>
          <w:p>
            <w:pP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应对风险和机遇的措施  </w:t>
            </w:r>
          </w:p>
          <w:p>
            <w:pPr>
              <w:rPr>
                <w:rFonts w:hint="eastAsia" w:ascii="宋体" w:hAnsi="宋体" w:eastAsia="宋体" w:cs="宋体"/>
                <w:b w:val="0"/>
                <w:bCs w:val="0"/>
                <w:color w:val="auto"/>
                <w:sz w:val="24"/>
                <w:szCs w:val="24"/>
                <w:lang w:val="en-US" w:eastAsia="zh-CN"/>
              </w:rPr>
            </w:pPr>
          </w:p>
        </w:tc>
        <w:tc>
          <w:tcPr>
            <w:tcW w:w="960" w:type="dxa"/>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6.1.1</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6.1.2</w:t>
            </w:r>
          </w:p>
          <w:p>
            <w:pPr>
              <w:rPr>
                <w:rFonts w:hint="eastAsia" w:ascii="宋体" w:hAnsi="宋体" w:eastAsia="宋体" w:cs="宋体"/>
                <w:b w:val="0"/>
                <w:bCs w:val="0"/>
                <w:color w:val="auto"/>
                <w:sz w:val="24"/>
                <w:szCs w:val="24"/>
                <w:lang w:val="en-US" w:eastAsia="zh-CN"/>
              </w:rPr>
            </w:pPr>
          </w:p>
        </w:tc>
        <w:tc>
          <w:tcPr>
            <w:tcW w:w="10850" w:type="dxa"/>
            <w:vAlign w:val="center"/>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编制了《2021年“能源”风险与机遇评价及应对措施策划表》包括“内外部因素、相关方及其需求、风险类别、风险机遇描述、应对措施的策划、措施有效性评价、执行和责任部门”等内容；其中：</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识别的风险_18项、具体包括“能耗、主要耗能设备能效水平不满足法律法规和政策要求、现有的设备如果比较落后，造成耗能高、如果现有的能源计量管理制度不完善，能源计量器具管理不当，容易造成能源消耗数据不准确，能源考核数据失真，给整体能源管理工作带来较大困扰险”等；</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相应的控制措施为“避免风险、 承担风险、消除风险源、改变风险的可能性和后果、分担风险、延缓风险”等；</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通过应对措施将风险转换为机遇导致“采用新实践、推出新产品、开辟新市场、赢得新客户、建立合作伙伴关系、使用新技术以及能够解决组织或其顾客需求的其他有利可能性”等内容；</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措施评审结论“有效”、有责任部门和相关人员的评审和评价要求信息——查应对措施与其对产品和服务符合性的潜在影响基本相适应、文件有编审批、更新日期2021.1.15；</w:t>
            </w:r>
          </w:p>
        </w:tc>
        <w:tc>
          <w:tcPr>
            <w:tcW w:w="739" w:type="dxa"/>
            <w:vAlign w:val="top"/>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top"/>
          </w:tcPr>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能源评审</w:t>
            </w:r>
          </w:p>
          <w:p>
            <w:pPr>
              <w:numPr>
                <w:ilvl w:val="0"/>
                <w:numId w:val="0"/>
              </w:numPr>
              <w:rPr>
                <w:rFonts w:hint="eastAsia" w:ascii="宋体" w:hAnsi="宋体" w:cs="宋体"/>
                <w:color w:val="auto"/>
                <w:sz w:val="24"/>
                <w:szCs w:val="24"/>
                <w:lang w:val="en-US" w:eastAsia="zh-CN"/>
              </w:rPr>
            </w:pPr>
          </w:p>
          <w:p>
            <w:pPr>
              <w:numPr>
                <w:ilvl w:val="0"/>
                <w:numId w:val="0"/>
              </w:numPr>
              <w:ind w:left="0" w:leftChars="0" w:firstLine="0" w:firstLineChars="0"/>
              <w:rPr>
                <w:rFonts w:hint="eastAsia" w:ascii="宋体" w:hAnsi="宋体" w:eastAsia="宋体" w:cs="宋体"/>
                <w:b w:val="0"/>
                <w:bCs w:val="0"/>
                <w:color w:val="auto"/>
                <w:sz w:val="24"/>
                <w:szCs w:val="24"/>
                <w:lang w:val="en-US" w:eastAsia="zh-CN"/>
              </w:rPr>
            </w:pPr>
          </w:p>
        </w:tc>
        <w:tc>
          <w:tcPr>
            <w:tcW w:w="960" w:type="dxa"/>
            <w:vAlign w:val="top"/>
          </w:tcPr>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6.3 </w:t>
            </w:r>
          </w:p>
          <w:p>
            <w:pPr>
              <w:numPr>
                <w:ilvl w:val="0"/>
                <w:numId w:val="0"/>
              </w:numPr>
              <w:ind w:left="0" w:leftChars="0" w:firstLine="0" w:firstLineChars="0"/>
              <w:rPr>
                <w:rFonts w:hint="eastAsia" w:ascii="宋体" w:hAnsi="宋体" w:eastAsia="宋体" w:cs="宋体"/>
                <w:b w:val="0"/>
                <w:bCs w:val="0"/>
                <w:color w:val="auto"/>
                <w:sz w:val="24"/>
                <w:szCs w:val="24"/>
                <w:lang w:val="en-US" w:eastAsia="zh-CN"/>
              </w:rPr>
            </w:pPr>
          </w:p>
        </w:tc>
        <w:tc>
          <w:tcPr>
            <w:tcW w:w="10850" w:type="dxa"/>
            <w:vAlign w:val="top"/>
          </w:tcPr>
          <w:p>
            <w:pPr>
              <w:numPr>
                <w:ilvl w:val="0"/>
                <w:numId w:val="0"/>
              </w:numPr>
              <w:ind w:left="0" w:leftChars="0" w:firstLine="0" w:firstLineChars="0"/>
              <w:rPr>
                <w:rFonts w:hint="default" w:ascii="宋体" w:hAnsi="宋体" w:eastAsia="宋体" w:cs="宋体"/>
                <w:b w:val="0"/>
                <w:bCs w:val="0"/>
                <w:color w:val="auto"/>
                <w:sz w:val="24"/>
                <w:szCs w:val="24"/>
                <w:lang w:val="en-US" w:eastAsia="zh-CN"/>
              </w:rPr>
            </w:pPr>
            <w:r>
              <w:rPr>
                <w:rFonts w:hint="eastAsia" w:ascii="宋体" w:hAnsi="宋体" w:cs="宋体"/>
                <w:color w:val="auto"/>
                <w:sz w:val="24"/>
                <w:szCs w:val="24"/>
                <w:lang w:val="en-US" w:eastAsia="zh-CN"/>
              </w:rPr>
              <w:t>最高管理者委托任命能源小组编制</w:t>
            </w:r>
            <w:r>
              <w:rPr>
                <w:rFonts w:hint="eastAsia" w:ascii="宋体" w:hAnsi="宋体" w:eastAsia="宋体" w:cs="宋体"/>
                <w:color w:val="auto"/>
                <w:sz w:val="24"/>
                <w:szCs w:val="24"/>
                <w:lang w:val="en-US" w:eastAsia="zh-CN"/>
              </w:rPr>
              <w:t>《能源评审报告》当前能源类型及能源结构</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过去和现在的能源使用</w:t>
            </w:r>
            <w:r>
              <w:rPr>
                <w:rFonts w:hint="eastAsia" w:ascii="宋体" w:hAnsi="宋体" w:cs="宋体"/>
                <w:color w:val="auto"/>
                <w:sz w:val="24"/>
                <w:szCs w:val="24"/>
                <w:lang w:val="en-US" w:eastAsia="zh-CN"/>
              </w:rPr>
              <w:t>及</w:t>
            </w:r>
            <w:r>
              <w:rPr>
                <w:rFonts w:hint="eastAsia" w:ascii="宋体" w:hAnsi="宋体" w:eastAsia="宋体" w:cs="宋体"/>
                <w:color w:val="auto"/>
                <w:sz w:val="24"/>
                <w:szCs w:val="24"/>
                <w:lang w:val="en-US" w:eastAsia="zh-CN"/>
              </w:rPr>
              <w:t>消费</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确定SEUs</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每一个SEU</w:t>
            </w:r>
            <w:r>
              <w:rPr>
                <w:rFonts w:hint="eastAsia" w:ascii="宋体" w:hAnsi="宋体" w:cs="宋体"/>
                <w:color w:val="auto"/>
                <w:sz w:val="24"/>
                <w:szCs w:val="24"/>
                <w:lang w:val="en-US" w:eastAsia="zh-CN"/>
              </w:rPr>
              <w:t xml:space="preserve"> 的</w:t>
            </w:r>
            <w:r>
              <w:rPr>
                <w:rFonts w:hint="eastAsia" w:ascii="宋体" w:hAnsi="宋体" w:eastAsia="宋体" w:cs="宋体"/>
                <w:color w:val="auto"/>
                <w:sz w:val="24"/>
                <w:szCs w:val="24"/>
                <w:lang w:val="en-US" w:eastAsia="zh-CN"/>
              </w:rPr>
              <w:t>相关变量</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静态因素</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确定2019年的能源绩效</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确定</w:t>
            </w:r>
            <w:r>
              <w:rPr>
                <w:rFonts w:hint="eastAsia" w:ascii="宋体" w:hAnsi="宋体" w:cs="宋体"/>
                <w:color w:val="auto"/>
                <w:sz w:val="24"/>
                <w:szCs w:val="24"/>
                <w:lang w:val="en-US" w:eastAsia="zh-CN"/>
              </w:rPr>
              <w:t>2020</w:t>
            </w:r>
            <w:r>
              <w:rPr>
                <w:rFonts w:hint="eastAsia" w:ascii="宋体" w:hAnsi="宋体" w:eastAsia="宋体" w:cs="宋体"/>
                <w:color w:val="auto"/>
                <w:sz w:val="24"/>
                <w:szCs w:val="24"/>
                <w:lang w:val="en-US" w:eastAsia="zh-CN"/>
              </w:rPr>
              <w:t>年的能源绩效</w:t>
            </w:r>
            <w:r>
              <w:rPr>
                <w:rFonts w:hint="eastAsia" w:ascii="宋体" w:hAnsi="宋体" w:cs="宋体"/>
                <w:color w:val="auto"/>
                <w:sz w:val="24"/>
                <w:szCs w:val="24"/>
                <w:lang w:val="en-US" w:eastAsia="zh-CN"/>
              </w:rPr>
              <w:t xml:space="preserve"> ——基本符合组织职责和权限要求；</w:t>
            </w:r>
          </w:p>
        </w:tc>
        <w:tc>
          <w:tcPr>
            <w:tcW w:w="739" w:type="dxa"/>
            <w:vAlign w:val="top"/>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2160" w:type="dxa"/>
            <w:vAlign w:val="top"/>
          </w:tcPr>
          <w:p>
            <w:pPr>
              <w:numPr>
                <w:ilvl w:val="0"/>
                <w:numId w:val="0"/>
              </w:numPr>
              <w:ind w:left="0" w:leftChars="0" w:firstLine="0" w:firstLineChars="0"/>
              <w:rPr>
                <w:rFonts w:hint="eastAsia" w:ascii="宋体" w:hAnsi="宋体" w:eastAsia="宋体" w:cs="宋体"/>
                <w:b w:val="0"/>
                <w:bCs w:val="0"/>
                <w:color w:val="auto"/>
                <w:sz w:val="24"/>
                <w:szCs w:val="24"/>
                <w:lang w:val="en-US" w:eastAsia="zh-CN"/>
              </w:rPr>
            </w:pPr>
            <w:r>
              <w:rPr>
                <w:rFonts w:hint="eastAsia" w:ascii="宋体" w:hAnsi="宋体" w:cs="宋体"/>
                <w:color w:val="auto"/>
                <w:sz w:val="24"/>
                <w:szCs w:val="24"/>
                <w:lang w:val="en-US" w:eastAsia="zh-CN"/>
              </w:rPr>
              <w:t>收集能源数据的计划</w:t>
            </w:r>
          </w:p>
        </w:tc>
        <w:tc>
          <w:tcPr>
            <w:tcW w:w="960" w:type="dxa"/>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6.6 </w:t>
            </w:r>
          </w:p>
          <w:p>
            <w:pPr>
              <w:rPr>
                <w:rFonts w:hint="eastAsia" w:ascii="宋体" w:hAnsi="宋体" w:eastAsia="宋体" w:cs="宋体"/>
                <w:b w:val="0"/>
                <w:bCs w:val="0"/>
                <w:color w:val="auto"/>
                <w:sz w:val="24"/>
                <w:szCs w:val="24"/>
                <w:lang w:val="en-US" w:eastAsia="zh-CN"/>
              </w:rPr>
            </w:pPr>
          </w:p>
        </w:tc>
        <w:tc>
          <w:tcPr>
            <w:tcW w:w="10850" w:type="dxa"/>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最高管理者发布了“关于“能源数据收集计划”的通知（2019.1.1）”要求各部门需每月收集关于SEUs的相关变量、与SEUs和本组织有关的能源消耗、与SEUs有关的操作标准/运行准则、 静态因素、行动计划中制定的数据（各类能源消耗量包括新水消耗、天然气消耗、电耗等，生产部门另需统计月生产量统计）；所有数据汇总上报综合部能源小组用于本公司能源绩效评价；查组织编制了《数据收集计划（实施）》其中包括了“关于SEUs的相关变量、与SEUs和本组织有关的能源消耗、与SEUs有关的操作标准/运行准则、 静态因素、行动计划中制定的数据”等内容——查基本符合标准要求；</w:t>
            </w:r>
          </w:p>
        </w:tc>
        <w:tc>
          <w:tcPr>
            <w:tcW w:w="739" w:type="dxa"/>
            <w:vAlign w:val="top"/>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资源</w:t>
            </w: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7.1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p>
        </w:tc>
        <w:tc>
          <w:tcPr>
            <w:tcW w:w="108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u w:val="single"/>
                <w:lang w:val="en-US" w:eastAsia="zh-CN"/>
              </w:rPr>
              <w:t>现有资源</w:t>
            </w:r>
            <w:r>
              <w:rPr>
                <w:rFonts w:hint="eastAsia" w:ascii="宋体" w:hAnsi="宋体" w:eastAsia="宋体" w:cs="宋体"/>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生产设备设施包括</w:t>
            </w:r>
            <w:r>
              <w:rPr>
                <w:rFonts w:hint="eastAsia" w:ascii="宋体" w:hAnsi="宋体" w:cs="宋体"/>
                <w:b w:val="0"/>
                <w:bCs w:val="0"/>
                <w:color w:val="auto"/>
                <w:sz w:val="24"/>
                <w:szCs w:val="24"/>
                <w:lang w:val="en-US" w:eastAsia="zh-CN"/>
              </w:rPr>
              <w:t>各种铸造用设备加热炉车床行车等</w:t>
            </w:r>
            <w:r>
              <w:rPr>
                <w:rFonts w:hint="eastAsia" w:ascii="宋体" w:hAnsi="宋体" w:eastAsia="宋体" w:cs="宋体"/>
                <w:b w:val="0"/>
                <w:bCs w:val="0"/>
                <w:color w:val="auto"/>
                <w:sz w:val="24"/>
                <w:szCs w:val="24"/>
                <w:lang w:val="en-US" w:eastAsia="zh-CN"/>
              </w:rPr>
              <w:t>、人员</w:t>
            </w:r>
            <w:r>
              <w:rPr>
                <w:rFonts w:hint="eastAsia" w:ascii="宋体" w:hAnsi="宋体" w:cs="宋体"/>
                <w:b w:val="0"/>
                <w:bCs w:val="0"/>
                <w:color w:val="auto"/>
                <w:sz w:val="24"/>
                <w:szCs w:val="24"/>
                <w:lang w:val="en-US" w:eastAsia="zh-CN"/>
              </w:rPr>
              <w:t>包括中高级技术人员和生产操作人员及办公室行政人员</w:t>
            </w:r>
            <w:r>
              <w:rPr>
                <w:rFonts w:hint="eastAsia" w:ascii="宋体" w:hAnsi="宋体" w:eastAsia="宋体" w:cs="宋体"/>
                <w:b w:val="0"/>
                <w:bCs w:val="0"/>
                <w:color w:val="auto"/>
                <w:sz w:val="24"/>
                <w:szCs w:val="24"/>
                <w:lang w:val="en-US" w:eastAsia="zh-CN"/>
              </w:rPr>
              <w:t>、知识</w:t>
            </w:r>
            <w:r>
              <w:rPr>
                <w:rFonts w:hint="eastAsia" w:ascii="宋体" w:hAnsi="宋体" w:eastAsia="宋体" w:cs="宋体"/>
                <w:b w:val="0"/>
                <w:bCs w:val="0"/>
                <w:color w:val="auto"/>
                <w:sz w:val="24"/>
                <w:szCs w:val="24"/>
                <w:lang w:eastAsia="zh-CN"/>
              </w:rPr>
              <w:t>“</w:t>
            </w:r>
            <w:r>
              <w:rPr>
                <w:rFonts w:hint="eastAsia" w:ascii="宋体" w:hAnsi="宋体" w:cs="宋体"/>
                <w:b w:val="0"/>
                <w:bCs w:val="0"/>
                <w:color w:val="auto"/>
                <w:sz w:val="24"/>
                <w:szCs w:val="24"/>
                <w:lang w:val="en-US" w:eastAsia="zh-CN"/>
              </w:rPr>
              <w:t>铸钢件工艺技术、机加工技术</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受限情况描述：</w:t>
            </w:r>
            <w:r>
              <w:rPr>
                <w:rFonts w:hint="eastAsia" w:ascii="宋体" w:hAnsi="宋体" w:eastAsia="宋体" w:cs="宋体"/>
                <w:b w:val="0"/>
                <w:bCs w:val="0"/>
                <w:color w:val="auto"/>
                <w:sz w:val="24"/>
                <w:szCs w:val="24"/>
                <w:lang w:eastAsia="zh-CN"/>
              </w:rPr>
              <w:t>“</w:t>
            </w:r>
            <w:r>
              <w:rPr>
                <w:rFonts w:hint="eastAsia" w:ascii="宋体" w:hAnsi="宋体" w:cs="宋体"/>
                <w:b w:val="0"/>
                <w:bCs w:val="0"/>
                <w:color w:val="auto"/>
                <w:sz w:val="24"/>
                <w:szCs w:val="24"/>
                <w:lang w:val="en-US" w:eastAsia="zh-CN"/>
              </w:rPr>
              <w:t>无</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组织计划引进的外部资源的信息</w:t>
            </w:r>
            <w:r>
              <w:rPr>
                <w:rFonts w:hint="eastAsia" w:ascii="宋体" w:hAnsi="宋体" w:eastAsia="宋体" w:cs="宋体"/>
                <w:b w:val="0"/>
                <w:bCs w:val="0"/>
                <w:color w:val="auto"/>
                <w:sz w:val="24"/>
                <w:szCs w:val="24"/>
                <w:lang w:eastAsia="zh-CN"/>
              </w:rPr>
              <w:t>“</w:t>
            </w:r>
            <w:r>
              <w:rPr>
                <w:rFonts w:hint="eastAsia" w:ascii="宋体" w:hAnsi="宋体" w:cs="宋体"/>
                <w:b w:val="0"/>
                <w:bCs w:val="0"/>
                <w:color w:val="auto"/>
                <w:sz w:val="24"/>
                <w:szCs w:val="24"/>
                <w:lang w:val="en-US" w:eastAsia="zh-CN"/>
              </w:rPr>
              <w:t>和华东科技大学联合研究钢铸件技术工艺</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组织目前</w:t>
            </w:r>
            <w:r>
              <w:rPr>
                <w:rFonts w:hint="eastAsia" w:ascii="宋体" w:hAnsi="宋体" w:eastAsia="宋体" w:cs="宋体"/>
                <w:b w:val="0"/>
                <w:bCs w:val="0"/>
                <w:color w:val="auto"/>
                <w:sz w:val="24"/>
                <w:szCs w:val="24"/>
                <w:lang w:val="en-US" w:eastAsia="zh-CN"/>
              </w:rPr>
              <w:t>的</w:t>
            </w:r>
            <w:r>
              <w:rPr>
                <w:rFonts w:hint="eastAsia" w:ascii="宋体" w:hAnsi="宋体" w:eastAsia="宋体" w:cs="宋体"/>
                <w:b w:val="0"/>
                <w:bCs w:val="0"/>
                <w:color w:val="auto"/>
                <w:sz w:val="24"/>
                <w:szCs w:val="24"/>
              </w:rPr>
              <w:t>能力</w:t>
            </w:r>
            <w:r>
              <w:rPr>
                <w:rFonts w:hint="eastAsia" w:ascii="宋体" w:hAnsi="宋体" w:eastAsia="宋体" w:cs="宋体"/>
                <w:b w:val="0"/>
                <w:bCs w:val="0"/>
                <w:color w:val="auto"/>
                <w:sz w:val="24"/>
                <w:szCs w:val="24"/>
                <w:lang w:val="en-US" w:eastAsia="zh-CN"/>
              </w:rPr>
              <w:t>水平状况</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包括</w:t>
            </w:r>
            <w:r>
              <w:rPr>
                <w:rFonts w:hint="eastAsia" w:ascii="宋体" w:hAnsi="宋体" w:eastAsia="宋体" w:cs="宋体"/>
                <w:b w:val="0"/>
                <w:bCs w:val="0"/>
                <w:color w:val="auto"/>
                <w:sz w:val="24"/>
                <w:szCs w:val="24"/>
              </w:rPr>
              <w:t>现有材料，人力资源及其能力，机械设备，信息和设施</w:t>
            </w:r>
            <w:r>
              <w:rPr>
                <w:rFonts w:hint="eastAsia" w:ascii="宋体" w:hAnsi="宋体" w:eastAsia="宋体" w:cs="宋体"/>
                <w:b w:val="0"/>
                <w:bCs w:val="0"/>
                <w:color w:val="auto"/>
                <w:sz w:val="24"/>
                <w:szCs w:val="24"/>
                <w:lang w:val="en-US" w:eastAsia="zh-CN"/>
              </w:rPr>
              <w:t>等情况的评审情况</w:t>
            </w:r>
            <w:r>
              <w:rPr>
                <w:rFonts w:hint="eastAsia" w:ascii="宋体" w:hAnsi="宋体" w:eastAsia="宋体" w:cs="宋体"/>
                <w:b w:val="0"/>
                <w:bCs w:val="0"/>
                <w:color w:val="auto"/>
                <w:sz w:val="24"/>
                <w:szCs w:val="24"/>
                <w:lang w:eastAsia="zh-CN"/>
              </w:rPr>
              <w:t>“</w:t>
            </w:r>
            <w:r>
              <w:rPr>
                <w:rFonts w:hint="eastAsia" w:ascii="宋体" w:hAnsi="宋体" w:cs="宋体"/>
                <w:b w:val="0"/>
                <w:bCs w:val="0"/>
                <w:color w:val="auto"/>
                <w:sz w:val="24"/>
                <w:szCs w:val="24"/>
                <w:lang w:val="en-US" w:eastAsia="zh-CN"/>
              </w:rPr>
              <w:t>基本满足要求</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w:t>
            </w:r>
          </w:p>
        </w:tc>
        <w:tc>
          <w:tcPr>
            <w:tcW w:w="739" w:type="dxa"/>
            <w:vAlign w:val="top"/>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运行策划和控制</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管理评审</w:t>
            </w: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cs="宋体"/>
                <w:b w:val="0"/>
                <w:bCs w:val="0"/>
                <w:color w:val="auto"/>
                <w:sz w:val="24"/>
                <w:szCs w:val="24"/>
                <w:lang w:val="en-US" w:eastAsia="zh-CN"/>
              </w:rPr>
              <w:t>8.1</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9.3</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b w:val="0"/>
                <w:bCs w:val="0"/>
                <w:color w:val="auto"/>
                <w:sz w:val="24"/>
                <w:szCs w:val="24"/>
                <w:lang w:val="en-US" w:eastAsia="zh-CN"/>
              </w:rPr>
            </w:pPr>
          </w:p>
        </w:tc>
        <w:tc>
          <w:tcPr>
            <w:tcW w:w="108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委派相关部门编制了《能源管理制度》和节能管理办法等；</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cs="宋体"/>
                <w:b w:val="0"/>
                <w:bCs w:val="0"/>
                <w:color w:val="auto"/>
                <w:sz w:val="24"/>
                <w:szCs w:val="24"/>
                <w:lang w:val="en-US" w:eastAsia="zh-CN"/>
              </w:rPr>
            </w:pPr>
            <w:r>
              <w:rPr>
                <w:rFonts w:hint="eastAsia" w:ascii="宋体" w:hAnsi="宋体" w:eastAsia="宋体" w:cs="宋体"/>
                <w:color w:val="auto"/>
                <w:sz w:val="24"/>
                <w:szCs w:val="24"/>
                <w:lang w:val="en-US" w:eastAsia="zh-CN"/>
              </w:rPr>
              <w:t>任命能源小组对组织能源消耗使用的全过程进行管理、听取相关汇</w:t>
            </w:r>
            <w:r>
              <w:rPr>
                <w:rFonts w:hint="eastAsia" w:ascii="宋体" w:hAnsi="宋体" w:cs="宋体"/>
                <w:b w:val="0"/>
                <w:bCs w:val="0"/>
                <w:color w:val="auto"/>
                <w:sz w:val="24"/>
                <w:szCs w:val="24"/>
                <w:lang w:val="en-US" w:eastAsia="zh-CN"/>
              </w:rPr>
              <w:t>报、指示节能计划的执行等；</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了《管理评审计划》评审目的“评价能源管理体系符合性、适宜性和有效性，力求公司持续改进”、管评内容包括“方针适用性和贯彻性、目标指标实现、合规性、文件适宜性、结合内审第三方审核的问题及解决”等9项、会议主持人彭秀；</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提供了《（管理评审）会议签到表》包括刘建立汤波张成根等28人签到信息；2020.12.25；</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提供“管理评审会议记录”包括“总经理强调了管理评审目的：评价能源管理体系的有效性、适宜性、充分性，及能源管理体系评价”等内容； </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提供各部门汇报材料5份、查覆盖了公司的能源相关部门；</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了《管理评审报告》包括时间地点目的内容参评人议程等信息——查符合策划的安排（管评计划）、报告内容“内审结果、能源管理体系运行适宜有效符合性、能源方针目标指标的适宜性和完成情况、能源管理水平、文件管理和能源意识方面 的提高程度、重点用能设备运行效率综合能耗节能量”等项；</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管评结论“本公司的能源管理体系基本是适宜的、充分的、有效的，节能的持续改进等”——查内容基本符合标准的要求；</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报告批准人彭秀；</w:t>
            </w:r>
          </w:p>
        </w:tc>
        <w:tc>
          <w:tcPr>
            <w:tcW w:w="739" w:type="dxa"/>
            <w:vAlign w:val="top"/>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bl>
    <w:p>
      <w:pPr>
        <w:pStyle w:val="3"/>
      </w:pPr>
    </w:p>
    <w:p>
      <w:pPr>
        <w:pStyle w:val="3"/>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7"/>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867" w:type="dxa"/>
            <w:vAlign w:val="center"/>
          </w:tcPr>
          <w:p>
            <w:pPr>
              <w:rPr>
                <w:rFonts w:hint="default" w:eastAsia="宋体"/>
                <w:szCs w:val="21"/>
                <w:lang w:val="en-US" w:eastAsia="zh-CN"/>
              </w:rPr>
            </w:pPr>
            <w:r>
              <w:rPr>
                <w:rFonts w:hint="eastAsia"/>
                <w:szCs w:val="21"/>
              </w:rPr>
              <w:t>受审核部门：生产部</w:t>
            </w:r>
            <w:r>
              <w:rPr>
                <w:szCs w:val="21"/>
              </w:rPr>
              <w:t xml:space="preserve">        </w:t>
            </w:r>
            <w:r>
              <w:rPr>
                <w:rFonts w:hint="eastAsia"/>
                <w:szCs w:val="21"/>
              </w:rPr>
              <w:t>主管领导：</w:t>
            </w:r>
            <w:r>
              <w:rPr>
                <w:rFonts w:hint="eastAsia"/>
                <w:szCs w:val="21"/>
                <w:lang w:val="en-US" w:eastAsia="zh-CN"/>
              </w:rPr>
              <w:t>汤波</w:t>
            </w:r>
            <w:r>
              <w:rPr>
                <w:szCs w:val="21"/>
              </w:rPr>
              <w:t xml:space="preserve">              </w:t>
            </w:r>
            <w:r>
              <w:rPr>
                <w:rFonts w:hint="eastAsia"/>
                <w:szCs w:val="21"/>
              </w:rPr>
              <w:t>陪同人员：</w:t>
            </w:r>
            <w:r>
              <w:rPr>
                <w:rFonts w:hint="eastAsia"/>
                <w:szCs w:val="21"/>
                <w:lang w:val="en-US" w:eastAsia="zh-CN"/>
              </w:rPr>
              <w:t>张成根</w:t>
            </w:r>
          </w:p>
        </w:tc>
        <w:tc>
          <w:tcPr>
            <w:tcW w:w="722"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867" w:type="dxa"/>
            <w:vAlign w:val="center"/>
          </w:tcPr>
          <w:p>
            <w:pPr>
              <w:spacing w:before="120"/>
              <w:rPr>
                <w:rFonts w:hint="default" w:eastAsia="宋体"/>
                <w:szCs w:val="21"/>
                <w:lang w:val="en-US" w:eastAsia="zh-CN"/>
              </w:rPr>
            </w:pPr>
            <w:r>
              <w:rPr>
                <w:rFonts w:hint="eastAsia"/>
                <w:szCs w:val="21"/>
              </w:rPr>
              <w:t>审核员：周涛</w:t>
            </w:r>
            <w:r>
              <w:rPr>
                <w:rFonts w:hint="eastAsia"/>
                <w:szCs w:val="21"/>
                <w:lang w:val="en-US" w:eastAsia="zh-CN"/>
              </w:rPr>
              <w:t xml:space="preserve">      </w:t>
            </w:r>
            <w:r>
              <w:rPr>
                <w:szCs w:val="21"/>
              </w:rPr>
              <w:t xml:space="preserve">        </w:t>
            </w:r>
            <w:r>
              <w:rPr>
                <w:rFonts w:hint="eastAsia"/>
                <w:szCs w:val="21"/>
              </w:rPr>
              <w:t>审核时间：</w:t>
            </w:r>
            <w:r>
              <w:rPr>
                <w:szCs w:val="21"/>
              </w:rPr>
              <w:t>2021</w:t>
            </w:r>
            <w:r>
              <w:rPr>
                <w:rFonts w:hint="eastAsia"/>
                <w:szCs w:val="21"/>
                <w:lang w:val="en-US" w:eastAsia="zh-CN"/>
              </w:rPr>
              <w:t>.4.2</w:t>
            </w:r>
          </w:p>
        </w:tc>
        <w:tc>
          <w:tcPr>
            <w:tcW w:w="722"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867" w:type="dxa"/>
            <w:vAlign w:val="center"/>
          </w:tcPr>
          <w:p>
            <w:r>
              <w:rPr>
                <w:rFonts w:hint="eastAsia"/>
              </w:rPr>
              <w:t>审核条款：5.3 组织的岗位、职责和权限、6.2 目标、能源指及其实现的策划、6.3 能源评审、6.4 能源绩效参数、6.5 能源基准</w:t>
            </w:r>
            <w:r>
              <w:rPr>
                <w:rFonts w:hint="eastAsia"/>
                <w:lang w:eastAsia="zh-CN"/>
              </w:rPr>
              <w:t>、</w:t>
            </w:r>
            <w:r>
              <w:rPr>
                <w:rFonts w:hint="eastAsia"/>
              </w:rPr>
              <w:t>6.6 采集能源数据的策划、</w:t>
            </w:r>
            <w:r>
              <w:rPr>
                <w:rFonts w:hint="eastAsia"/>
                <w:lang w:val="en-US" w:eastAsia="zh-CN"/>
              </w:rPr>
              <w:t>7.4沟通交流、</w:t>
            </w:r>
            <w:r>
              <w:rPr>
                <w:rFonts w:hint="eastAsia"/>
              </w:rPr>
              <w:t>8.1 运行的策划和控制、10.2 持续改进</w:t>
            </w:r>
          </w:p>
        </w:tc>
        <w:tc>
          <w:tcPr>
            <w:tcW w:w="722"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rPr>
                <w:szCs w:val="21"/>
              </w:rPr>
            </w:pPr>
            <w:r>
              <w:rPr>
                <w:rFonts w:hint="eastAsia" w:ascii="宋体" w:hAnsi="宋体"/>
                <w:szCs w:val="21"/>
              </w:rPr>
              <w:t>组织的岗位、职责和权限、</w:t>
            </w:r>
          </w:p>
        </w:tc>
        <w:tc>
          <w:tcPr>
            <w:tcW w:w="960" w:type="dxa"/>
          </w:tcPr>
          <w:p>
            <w:pPr>
              <w:rPr>
                <w:szCs w:val="21"/>
              </w:rPr>
            </w:pPr>
            <w:r>
              <w:rPr>
                <w:rFonts w:ascii="宋体" w:hAnsi="宋体"/>
                <w:szCs w:val="21"/>
              </w:rPr>
              <w:t xml:space="preserve">5.3 </w:t>
            </w:r>
          </w:p>
        </w:tc>
        <w:tc>
          <w:tcPr>
            <w:tcW w:w="10867" w:type="dxa"/>
          </w:tcPr>
          <w:p>
            <w:pPr>
              <w:rPr>
                <w:rFonts w:hint="eastAsia" w:ascii="Times New Roman" w:hAnsi="Times New Roman" w:cs="Times New Roman"/>
              </w:rPr>
            </w:pPr>
            <w:r>
              <w:rPr>
                <w:rFonts w:hint="eastAsia" w:ascii="Times New Roman" w:hAnsi="Times New Roman" w:cs="Times New Roman"/>
              </w:rPr>
              <w:t>负责人：</w:t>
            </w:r>
          </w:p>
          <w:p>
            <w:pPr>
              <w:rPr>
                <w:rFonts w:hint="eastAsia" w:ascii="Times New Roman" w:hAnsi="Times New Roman" w:cs="Times New Roman"/>
              </w:rPr>
            </w:pPr>
            <w:r>
              <w:rPr>
                <w:rFonts w:hint="eastAsia" w:ascii="Times New Roman" w:hAnsi="Times New Roman" w:cs="Times New Roman"/>
                <w:lang w:val="en-US" w:eastAsia="zh-CN"/>
              </w:rPr>
              <w:t>1、</w:t>
            </w:r>
            <w:r>
              <w:rPr>
                <w:rFonts w:hint="eastAsia" w:ascii="Times New Roman" w:hAnsi="Times New Roman" w:cs="Times New Roman"/>
              </w:rPr>
              <w:t>合理</w:t>
            </w:r>
            <w:r>
              <w:rPr>
                <w:rFonts w:hint="eastAsia" w:ascii="Times New Roman" w:hAnsi="Times New Roman" w:cs="Times New Roman"/>
                <w:lang w:val="en-US" w:eastAsia="zh-CN"/>
              </w:rPr>
              <w:t>安排</w:t>
            </w:r>
            <w:r>
              <w:rPr>
                <w:rFonts w:hint="eastAsia" w:ascii="Times New Roman" w:hAnsi="Times New Roman" w:cs="Times New Roman"/>
              </w:rPr>
              <w:t>生产调度，努力降低能源消耗和损失，提高能源利用率。</w:t>
            </w:r>
          </w:p>
          <w:p>
            <w:pPr>
              <w:rPr>
                <w:rFonts w:hint="eastAsia" w:ascii="Times New Roman" w:hAnsi="Times New Roman" w:cs="Times New Roman"/>
              </w:rPr>
            </w:pPr>
            <w:r>
              <w:rPr>
                <w:rFonts w:hint="eastAsia" w:ascii="Times New Roman" w:hAnsi="Times New Roman" w:cs="Times New Roman"/>
                <w:lang w:val="en-US" w:eastAsia="zh-CN"/>
              </w:rPr>
              <w:t>2、</w:t>
            </w:r>
            <w:r>
              <w:rPr>
                <w:rFonts w:hint="eastAsia" w:ascii="Times New Roman" w:hAnsi="Times New Roman" w:cs="Times New Roman"/>
              </w:rPr>
              <w:t>负责提供</w:t>
            </w:r>
            <w:r>
              <w:rPr>
                <w:rFonts w:hint="eastAsia" w:ascii="Times New Roman" w:hAnsi="Times New Roman" w:cs="Times New Roman"/>
                <w:lang w:val="en-US" w:eastAsia="zh-CN"/>
              </w:rPr>
              <w:t>能源</w:t>
            </w:r>
            <w:r>
              <w:rPr>
                <w:rFonts w:hint="eastAsia" w:ascii="Times New Roman" w:hAnsi="Times New Roman" w:cs="Times New Roman"/>
              </w:rPr>
              <w:t>基础设施和工作环境。</w:t>
            </w:r>
          </w:p>
          <w:p>
            <w:pPr>
              <w:rPr>
                <w:rFonts w:hint="eastAsia" w:ascii="Times New Roman" w:hAnsi="Times New Roman" w:cs="Times New Roman"/>
              </w:rPr>
            </w:pPr>
            <w:r>
              <w:rPr>
                <w:rFonts w:hint="eastAsia" w:ascii="Times New Roman" w:hAnsi="Times New Roman" w:cs="Times New Roman"/>
                <w:lang w:val="en-US" w:eastAsia="zh-CN"/>
              </w:rPr>
              <w:t>3、</w:t>
            </w:r>
            <w:r>
              <w:rPr>
                <w:rFonts w:hint="eastAsia" w:ascii="Times New Roman" w:hAnsi="Times New Roman" w:cs="Times New Roman"/>
              </w:rPr>
              <w:t>负责能源</w:t>
            </w:r>
            <w:r>
              <w:rPr>
                <w:rFonts w:hint="eastAsia" w:ascii="Times New Roman" w:hAnsi="Times New Roman" w:cs="Times New Roman"/>
                <w:lang w:val="en-US" w:eastAsia="zh-CN"/>
              </w:rPr>
              <w:t>体系要求的设备正常</w:t>
            </w:r>
            <w:r>
              <w:rPr>
                <w:rFonts w:hint="eastAsia" w:ascii="Times New Roman" w:hAnsi="Times New Roman" w:cs="Times New Roman"/>
              </w:rPr>
              <w:t>运行</w:t>
            </w:r>
            <w:r>
              <w:rPr>
                <w:rFonts w:hint="eastAsia" w:ascii="Times New Roman" w:hAnsi="Times New Roman" w:cs="Times New Roman"/>
                <w:lang w:eastAsia="zh-CN"/>
              </w:rPr>
              <w:t>，</w:t>
            </w:r>
            <w:r>
              <w:rPr>
                <w:rFonts w:hint="eastAsia" w:ascii="Times New Roman" w:hAnsi="Times New Roman" w:cs="Times New Roman"/>
              </w:rPr>
              <w:t>做好生产过程的能源控制和对能源过程能力的确认。</w:t>
            </w:r>
          </w:p>
          <w:p>
            <w:pPr>
              <w:rPr>
                <w:rFonts w:hint="eastAsia" w:ascii="Times New Roman" w:hAnsi="Times New Roman" w:cs="Times New Roman"/>
              </w:rPr>
            </w:pPr>
            <w:r>
              <w:rPr>
                <w:rFonts w:hint="eastAsia" w:ascii="Times New Roman" w:hAnsi="Times New Roman" w:cs="Times New Roman"/>
                <w:lang w:val="en-US" w:eastAsia="zh-CN"/>
              </w:rPr>
              <w:t>4、能源数据的收集整理上报等</w:t>
            </w:r>
            <w:r>
              <w:rPr>
                <w:rFonts w:hint="eastAsia" w:ascii="Times New Roman" w:hAnsi="Times New Roman" w:cs="Times New Roman"/>
              </w:rPr>
              <w:t>统计工作。</w:t>
            </w:r>
          </w:p>
          <w:p>
            <w:pPr>
              <w:rPr>
                <w:rFonts w:hint="eastAsia" w:ascii="Times New Roman" w:hAnsi="Times New Roman" w:cs="Times New Roman"/>
              </w:rPr>
            </w:pPr>
            <w:r>
              <w:rPr>
                <w:rFonts w:hint="eastAsia" w:ascii="Times New Roman" w:hAnsi="Times New Roman" w:cs="Times New Roman"/>
                <w:lang w:val="en-US" w:eastAsia="zh-CN"/>
              </w:rPr>
              <w:t>5、参与能源</w:t>
            </w:r>
            <w:r>
              <w:rPr>
                <w:rFonts w:hint="eastAsia" w:ascii="Times New Roman" w:hAnsi="Times New Roman" w:cs="Times New Roman"/>
              </w:rPr>
              <w:t>应急预案的编制和落实工作。</w:t>
            </w:r>
          </w:p>
        </w:tc>
        <w:tc>
          <w:tcPr>
            <w:tcW w:w="722" w:type="dxa"/>
          </w:tcPr>
          <w:p>
            <w:pPr>
              <w:rPr>
                <w:szCs w:val="21"/>
              </w:rPr>
            </w:pPr>
          </w:p>
          <w:p>
            <w:pPr>
              <w:rPr>
                <w:szCs w:val="21"/>
              </w:rPr>
            </w:pPr>
          </w:p>
          <w:p>
            <w:pPr>
              <w:ind w:firstLine="210" w:firstLineChars="100"/>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2160" w:type="dxa"/>
          </w:tcPr>
          <w:p>
            <w:pPr>
              <w:rPr>
                <w:szCs w:val="21"/>
              </w:rPr>
            </w:pPr>
            <w:r>
              <w:rPr>
                <w:rFonts w:hint="eastAsia" w:ascii="宋体" w:hAnsi="宋体"/>
                <w:szCs w:val="21"/>
              </w:rPr>
              <w:t>目标、能源指及其实现的策划、</w:t>
            </w:r>
          </w:p>
        </w:tc>
        <w:tc>
          <w:tcPr>
            <w:tcW w:w="960" w:type="dxa"/>
          </w:tcPr>
          <w:p>
            <w:pPr>
              <w:rPr>
                <w:szCs w:val="21"/>
              </w:rPr>
            </w:pPr>
            <w:r>
              <w:rPr>
                <w:rFonts w:ascii="宋体" w:hAnsi="宋体"/>
                <w:szCs w:val="21"/>
              </w:rPr>
              <w:t xml:space="preserve">6.2 </w:t>
            </w:r>
          </w:p>
        </w:tc>
        <w:tc>
          <w:tcPr>
            <w:tcW w:w="10867" w:type="dxa"/>
          </w:tcPr>
          <w:p>
            <w:pPr>
              <w:rPr>
                <w:rFonts w:hint="eastAsia"/>
                <w:lang w:val="en-US" w:eastAsia="zh-CN"/>
              </w:rPr>
            </w:pPr>
            <w:r>
              <w:t>2020</w:t>
            </w:r>
            <w:r>
              <w:rPr>
                <w:rFonts w:hint="eastAsia"/>
              </w:rPr>
              <w:t>年公司</w:t>
            </w:r>
            <w:r>
              <w:rPr>
                <w:rFonts w:hint="eastAsia"/>
                <w:lang w:val="en-US" w:eastAsia="zh-CN"/>
              </w:rPr>
              <w:t>的节能目标：</w:t>
            </w:r>
          </w:p>
          <w:tbl>
            <w:tblPr>
              <w:tblStyle w:val="11"/>
              <w:tblpPr w:leftFromText="180" w:rightFromText="180" w:vertAnchor="text" w:horzAnchor="page" w:tblpX="191" w:tblpY="312"/>
              <w:tblOverlap w:val="never"/>
              <w:tblW w:w="10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3320"/>
              <w:gridCol w:w="5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400"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级别</w:t>
                  </w:r>
                </w:p>
              </w:tc>
              <w:tc>
                <w:tcPr>
                  <w:tcW w:w="3320"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目标</w:t>
                  </w:r>
                </w:p>
              </w:tc>
              <w:tc>
                <w:tcPr>
                  <w:tcW w:w="5543"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指标                                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400"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公司级</w:t>
                  </w:r>
                </w:p>
              </w:tc>
              <w:tc>
                <w:tcPr>
                  <w:tcW w:w="3320"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 节能达标(节能量） </w:t>
                  </w:r>
                </w:p>
              </w:tc>
              <w:tc>
                <w:tcPr>
                  <w:tcW w:w="5543" w:type="dxa"/>
                  <w:noWrap w:val="0"/>
                  <w:vAlign w:val="top"/>
                </w:tcPr>
                <w:p>
                  <w:pPr>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200(tgce)                          250(tgce)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400"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生产部级</w:t>
                  </w:r>
                </w:p>
              </w:tc>
              <w:tc>
                <w:tcPr>
                  <w:tcW w:w="3320"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可比单位产品综合能耗优于基准  </w:t>
                  </w:r>
                </w:p>
              </w:tc>
              <w:tc>
                <w:tcPr>
                  <w:tcW w:w="5543"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≦532（Kgce/t）                      498.38（Kgce/t）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400"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辅助部门级</w:t>
                  </w:r>
                </w:p>
              </w:tc>
              <w:tc>
                <w:tcPr>
                  <w:tcW w:w="3320"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同公司级目标</w:t>
                  </w:r>
                </w:p>
              </w:tc>
              <w:tc>
                <w:tcPr>
                  <w:tcW w:w="5543"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同公司级指标</w:t>
                  </w:r>
                </w:p>
              </w:tc>
            </w:tr>
          </w:tbl>
          <w:p>
            <w:pPr>
              <w:pStyle w:val="2"/>
              <w:rPr>
                <w:rFonts w:hint="default"/>
                <w:lang w:val="en-US" w:eastAsia="zh-CN"/>
              </w:rPr>
            </w:pPr>
          </w:p>
          <w:p>
            <w:pPr>
              <w:pStyle w:val="2"/>
              <w:rPr>
                <w:rFonts w:hint="default"/>
                <w:lang w:val="en-US" w:eastAsia="zh-CN"/>
              </w:rPr>
            </w:pPr>
          </w:p>
          <w:p>
            <w:pPr>
              <w:pStyle w:val="2"/>
              <w:rPr>
                <w:rFonts w:hint="eastAsia" w:cs="Times New Roman"/>
                <w:kern w:val="2"/>
                <w:sz w:val="21"/>
                <w:szCs w:val="20"/>
                <w:lang w:val="en-US" w:eastAsia="zh-CN" w:bidi="ar-SA"/>
              </w:rPr>
            </w:pPr>
            <w:r>
              <w:rPr>
                <w:rFonts w:hint="eastAsia" w:cs="Times New Roman"/>
                <w:kern w:val="2"/>
                <w:sz w:val="21"/>
                <w:szCs w:val="20"/>
                <w:lang w:val="en-US" w:eastAsia="zh-CN" w:bidi="ar-SA"/>
              </w:rPr>
              <w:t>查2020年节能管理方案：如下表，</w:t>
            </w:r>
          </w:p>
          <w:tbl>
            <w:tblPr>
              <w:tblStyle w:val="11"/>
              <w:tblpPr w:leftFromText="180" w:rightFromText="180" w:vertAnchor="text" w:horzAnchor="page" w:tblpX="196" w:tblpY="629"/>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858"/>
              <w:gridCol w:w="1204"/>
              <w:gridCol w:w="1204"/>
              <w:gridCol w:w="1204"/>
              <w:gridCol w:w="701"/>
              <w:gridCol w:w="503"/>
              <w:gridCol w:w="548"/>
              <w:gridCol w:w="656"/>
              <w:gridCol w:w="467"/>
              <w:gridCol w:w="737"/>
              <w:gridCol w:w="358"/>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100" w:type="dxa"/>
                  <w:gridSpan w:val="13"/>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33" w:type="dxa"/>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编号</w:t>
                  </w:r>
                </w:p>
              </w:tc>
              <w:tc>
                <w:tcPr>
                  <w:tcW w:w="858" w:type="dxa"/>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类型</w:t>
                  </w:r>
                </w:p>
              </w:tc>
              <w:tc>
                <w:tcPr>
                  <w:tcW w:w="4313" w:type="dxa"/>
                  <w:gridSpan w:val="4"/>
                </w:tcPr>
                <w:p>
                  <w:pPr>
                    <w:jc w:val="left"/>
                    <w:rPr>
                      <w:rFonts w:hint="eastAsia" w:ascii="宋体" w:hAnsi="宋体" w:eastAsia="宋体" w:cs="宋体"/>
                      <w:b/>
                      <w:bCs/>
                      <w:vertAlign w:val="baseline"/>
                      <w:lang w:val="en-US" w:eastAsia="zh-CN"/>
                    </w:rPr>
                  </w:pPr>
                  <w:r>
                    <w:rPr>
                      <w:rFonts w:hint="eastAsia" w:ascii="宋体" w:hAnsi="宋体" w:cs="宋体"/>
                      <w:b/>
                      <w:bCs/>
                      <w:vertAlign w:val="baseline"/>
                      <w:lang w:val="en-US" w:eastAsia="zh-CN"/>
                    </w:rPr>
                    <w:t>方法和</w:t>
                  </w:r>
                  <w:r>
                    <w:rPr>
                      <w:rFonts w:hint="eastAsia" w:ascii="宋体" w:hAnsi="宋体" w:eastAsia="宋体" w:cs="宋体"/>
                      <w:b/>
                      <w:bCs/>
                      <w:vertAlign w:val="baseline"/>
                      <w:lang w:val="en-US" w:eastAsia="zh-CN"/>
                    </w:rPr>
                    <w:t>措施</w:t>
                  </w:r>
                </w:p>
              </w:tc>
              <w:tc>
                <w:tcPr>
                  <w:tcW w:w="1051" w:type="dxa"/>
                  <w:gridSpan w:val="2"/>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职责</w:t>
                  </w:r>
                </w:p>
              </w:tc>
              <w:tc>
                <w:tcPr>
                  <w:tcW w:w="1123" w:type="dxa"/>
                  <w:gridSpan w:val="2"/>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资源</w:t>
                  </w:r>
                </w:p>
              </w:tc>
              <w:tc>
                <w:tcPr>
                  <w:tcW w:w="1095" w:type="dxa"/>
                  <w:gridSpan w:val="2"/>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时间</w:t>
                  </w:r>
                </w:p>
              </w:tc>
              <w:tc>
                <w:tcPr>
                  <w:tcW w:w="1027" w:type="dxa"/>
                </w:tcPr>
                <w:p>
                  <w:pPr>
                    <w:jc w:val="center"/>
                    <w:rPr>
                      <w:rFonts w:hint="eastAsia" w:ascii="宋体" w:hAnsi="宋体" w:eastAsia="宋体" w:cs="宋体"/>
                      <w:b/>
                      <w:bCs/>
                      <w:vertAlign w:val="baseline"/>
                      <w:lang w:val="en-US" w:eastAsia="zh-CN"/>
                    </w:rPr>
                  </w:pPr>
                  <w:r>
                    <w:rPr>
                      <w:rFonts w:hint="eastAsia" w:ascii="宋体" w:hAnsi="宋体" w:eastAsia="宋体" w:cs="宋体"/>
                      <w:b/>
                      <w:bCs/>
                      <w:color w:val="auto"/>
                      <w:sz w:val="24"/>
                      <w:szCs w:val="24"/>
                      <w:lang w:val="en-US" w:eastAsia="zh-CN"/>
                    </w:rPr>
                    <w:t xml:space="preserve">验证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633"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858" w:type="dxa"/>
                </w:tcPr>
                <w:p>
                  <w:pPr>
                    <w:jc w:val="center"/>
                    <w:rPr>
                      <w:rFonts w:hint="eastAsia" w:ascii="Times New Roman" w:hAnsi="Times New Roman" w:cs="Times New Roman"/>
                      <w:b/>
                      <w:bCs/>
                      <w:color w:val="0000FF"/>
                      <w:vertAlign w:val="baseline"/>
                      <w:lang w:val="en-US" w:eastAsia="zh-CN"/>
                    </w:rPr>
                  </w:pPr>
                  <w:r>
                    <w:rPr>
                      <w:rFonts w:hint="eastAsia" w:ascii="Times New Roman" w:hAnsi="Times New Roman" w:cs="Times New Roman"/>
                      <w:b/>
                      <w:bCs/>
                      <w:color w:val="0000FF"/>
                      <w:vertAlign w:val="baseline"/>
                      <w:lang w:val="en-US" w:eastAsia="zh-CN"/>
                    </w:rPr>
                    <w:t>管</w:t>
                  </w:r>
                </w:p>
                <w:p>
                  <w:pPr>
                    <w:jc w:val="center"/>
                    <w:rPr>
                      <w:rFonts w:hint="eastAsia" w:ascii="Times New Roman" w:hAnsi="Times New Roman" w:cs="Times New Roman"/>
                      <w:b/>
                      <w:bCs/>
                      <w:color w:val="0000FF"/>
                      <w:vertAlign w:val="baseline"/>
                      <w:lang w:val="en-US" w:eastAsia="zh-CN"/>
                    </w:rPr>
                  </w:pPr>
                  <w:r>
                    <w:rPr>
                      <w:rFonts w:hint="eastAsia" w:ascii="Times New Roman" w:hAnsi="Times New Roman" w:cs="Times New Roman"/>
                      <w:b/>
                      <w:bCs/>
                      <w:color w:val="0000FF"/>
                      <w:vertAlign w:val="baseline"/>
                      <w:lang w:val="en-US" w:eastAsia="zh-CN"/>
                    </w:rPr>
                    <w:t>理</w:t>
                  </w:r>
                </w:p>
                <w:p>
                  <w:pPr>
                    <w:jc w:val="center"/>
                    <w:rPr>
                      <w:rFonts w:hint="eastAsia" w:ascii="Times New Roman" w:hAnsi="Times New Roman" w:cs="Times New Roman"/>
                      <w:b/>
                      <w:bCs/>
                      <w:color w:val="0000FF"/>
                      <w:vertAlign w:val="baseline"/>
                      <w:lang w:val="en-US" w:eastAsia="zh-CN"/>
                    </w:rPr>
                  </w:pPr>
                  <w:r>
                    <w:rPr>
                      <w:rFonts w:hint="eastAsia" w:ascii="Times New Roman" w:hAnsi="Times New Roman" w:cs="Times New Roman"/>
                      <w:b/>
                      <w:bCs/>
                      <w:color w:val="0000FF"/>
                      <w:vertAlign w:val="baseline"/>
                      <w:lang w:val="en-US" w:eastAsia="zh-CN"/>
                    </w:rPr>
                    <w:t>节</w:t>
                  </w:r>
                </w:p>
                <w:p>
                  <w:pPr>
                    <w:jc w:val="center"/>
                    <w:rPr>
                      <w:rFonts w:hint="default" w:ascii="Times New Roman" w:hAnsi="Times New Roman" w:cs="Times New Roman"/>
                      <w:b/>
                      <w:bCs/>
                      <w:color w:val="0000FF"/>
                      <w:vertAlign w:val="baseline"/>
                      <w:lang w:val="en-US" w:eastAsia="zh-CN"/>
                    </w:rPr>
                  </w:pPr>
                  <w:r>
                    <w:rPr>
                      <w:rFonts w:hint="eastAsia" w:ascii="Times New Roman" w:hAnsi="Times New Roman" w:cs="Times New Roman"/>
                      <w:b/>
                      <w:bCs/>
                      <w:color w:val="0000FF"/>
                      <w:vertAlign w:val="baseline"/>
                      <w:lang w:val="en-US" w:eastAsia="zh-CN"/>
                    </w:rPr>
                    <w:t>能</w:t>
                  </w:r>
                </w:p>
              </w:tc>
              <w:tc>
                <w:tcPr>
                  <w:tcW w:w="4313" w:type="dxa"/>
                  <w:gridSpan w:val="4"/>
                </w:tcPr>
                <w:p>
                  <w:pPr>
                    <w:jc w:val="left"/>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总结能耗运行中符合性经验形成制度；调查不符合点并查找原因，验证纠正措施；制定合理有效的生产计划，实施节能生产；</w:t>
                  </w:r>
                </w:p>
              </w:tc>
              <w:tc>
                <w:tcPr>
                  <w:tcW w:w="1051" w:type="dxa"/>
                  <w:gridSpan w:val="2"/>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综合部</w:t>
                  </w:r>
                </w:p>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生产管理部</w:t>
                  </w:r>
                </w:p>
              </w:tc>
              <w:tc>
                <w:tcPr>
                  <w:tcW w:w="1123" w:type="dxa"/>
                  <w:gridSpan w:val="2"/>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2000.00（元）</w:t>
                  </w:r>
                </w:p>
              </w:tc>
              <w:tc>
                <w:tcPr>
                  <w:tcW w:w="1095" w:type="dxa"/>
                  <w:gridSpan w:val="2"/>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2020.12</w:t>
                  </w:r>
                </w:p>
              </w:tc>
              <w:tc>
                <w:tcPr>
                  <w:tcW w:w="1027"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633" w:type="dxa"/>
                  <w:vMerge w:val="restart"/>
                </w:tcPr>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p>
                  <w:pPr>
                    <w:ind w:firstLine="210" w:firstLineChars="100"/>
                    <w:jc w:val="both"/>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w:t>
                  </w:r>
                </w:p>
              </w:tc>
              <w:tc>
                <w:tcPr>
                  <w:tcW w:w="858" w:type="dxa"/>
                  <w:vMerge w:val="restart"/>
                </w:tcPr>
                <w:p>
                  <w:pPr>
                    <w:jc w:val="center"/>
                    <w:rPr>
                      <w:rFonts w:hint="eastAsia" w:ascii="Times New Roman" w:hAnsi="Times New Roman" w:cs="Times New Roman"/>
                      <w:b/>
                      <w:bCs/>
                      <w:color w:val="0000FF"/>
                      <w:vertAlign w:val="baseline"/>
                      <w:lang w:val="en-US" w:eastAsia="zh-CN"/>
                    </w:rPr>
                  </w:pPr>
                </w:p>
                <w:p>
                  <w:pPr>
                    <w:jc w:val="center"/>
                    <w:rPr>
                      <w:rFonts w:hint="eastAsia" w:ascii="Times New Roman" w:hAnsi="Times New Roman" w:cs="Times New Roman"/>
                      <w:b/>
                      <w:bCs/>
                      <w:color w:val="0000FF"/>
                      <w:vertAlign w:val="baseline"/>
                      <w:lang w:val="en-US" w:eastAsia="zh-CN"/>
                    </w:rPr>
                  </w:pPr>
                </w:p>
                <w:p>
                  <w:pPr>
                    <w:jc w:val="center"/>
                    <w:rPr>
                      <w:rFonts w:hint="eastAsia" w:ascii="Times New Roman" w:hAnsi="Times New Roman" w:cs="Times New Roman"/>
                      <w:b/>
                      <w:bCs/>
                      <w:color w:val="0000FF"/>
                      <w:vertAlign w:val="baseline"/>
                      <w:lang w:val="en-US" w:eastAsia="zh-CN"/>
                    </w:rPr>
                  </w:pPr>
                </w:p>
                <w:p>
                  <w:pPr>
                    <w:jc w:val="center"/>
                    <w:rPr>
                      <w:rFonts w:hint="eastAsia" w:ascii="Times New Roman" w:hAnsi="Times New Roman" w:cs="Times New Roman"/>
                      <w:b/>
                      <w:bCs/>
                      <w:color w:val="0000FF"/>
                      <w:vertAlign w:val="baseline"/>
                      <w:lang w:val="en-US" w:eastAsia="zh-CN"/>
                    </w:rPr>
                  </w:pPr>
                </w:p>
                <w:p>
                  <w:pPr>
                    <w:jc w:val="center"/>
                    <w:rPr>
                      <w:rFonts w:hint="eastAsia" w:ascii="Times New Roman" w:hAnsi="Times New Roman" w:cs="Times New Roman"/>
                      <w:b/>
                      <w:bCs/>
                      <w:color w:val="0000FF"/>
                      <w:vertAlign w:val="baseline"/>
                      <w:lang w:val="en-US" w:eastAsia="zh-CN"/>
                    </w:rPr>
                  </w:pPr>
                </w:p>
                <w:p>
                  <w:pPr>
                    <w:jc w:val="center"/>
                    <w:rPr>
                      <w:rFonts w:hint="eastAsia" w:ascii="Times New Roman" w:hAnsi="Times New Roman" w:cs="Times New Roman"/>
                      <w:b/>
                      <w:bCs/>
                      <w:color w:val="0000FF"/>
                      <w:vertAlign w:val="baseline"/>
                      <w:lang w:val="en-US" w:eastAsia="zh-CN"/>
                    </w:rPr>
                  </w:pPr>
                </w:p>
                <w:p>
                  <w:pPr>
                    <w:jc w:val="center"/>
                    <w:rPr>
                      <w:rFonts w:hint="eastAsia" w:ascii="Times New Roman" w:hAnsi="Times New Roman" w:cs="Times New Roman"/>
                      <w:b/>
                      <w:bCs/>
                      <w:color w:val="0000FF"/>
                      <w:vertAlign w:val="baseline"/>
                      <w:lang w:val="en-US" w:eastAsia="zh-CN"/>
                    </w:rPr>
                  </w:pPr>
                </w:p>
                <w:p>
                  <w:pPr>
                    <w:jc w:val="center"/>
                    <w:rPr>
                      <w:rFonts w:hint="eastAsia" w:ascii="Times New Roman" w:hAnsi="Times New Roman" w:cs="Times New Roman"/>
                      <w:b/>
                      <w:bCs/>
                      <w:color w:val="0000FF"/>
                      <w:vertAlign w:val="baseline"/>
                      <w:lang w:val="en-US" w:eastAsia="zh-CN"/>
                    </w:rPr>
                  </w:pPr>
                </w:p>
                <w:p>
                  <w:pPr>
                    <w:jc w:val="center"/>
                    <w:rPr>
                      <w:rFonts w:hint="eastAsia" w:ascii="Times New Roman" w:hAnsi="Times New Roman" w:cs="Times New Roman"/>
                      <w:b/>
                      <w:bCs/>
                      <w:color w:val="0000FF"/>
                      <w:vertAlign w:val="baseline"/>
                      <w:lang w:val="en-US" w:eastAsia="zh-CN"/>
                    </w:rPr>
                  </w:pPr>
                </w:p>
                <w:p>
                  <w:pPr>
                    <w:jc w:val="center"/>
                    <w:rPr>
                      <w:rFonts w:hint="eastAsia" w:ascii="Times New Roman" w:hAnsi="Times New Roman" w:cs="Times New Roman"/>
                      <w:b/>
                      <w:bCs/>
                      <w:color w:val="0000FF"/>
                      <w:vertAlign w:val="baseline"/>
                      <w:lang w:val="en-US" w:eastAsia="zh-CN"/>
                    </w:rPr>
                  </w:pPr>
                </w:p>
                <w:p>
                  <w:pPr>
                    <w:jc w:val="center"/>
                    <w:rPr>
                      <w:rFonts w:hint="eastAsia" w:ascii="Times New Roman" w:hAnsi="Times New Roman" w:cs="Times New Roman"/>
                      <w:b/>
                      <w:bCs/>
                      <w:color w:val="0000FF"/>
                      <w:vertAlign w:val="baseline"/>
                      <w:lang w:val="en-US" w:eastAsia="zh-CN"/>
                    </w:rPr>
                  </w:pPr>
                </w:p>
                <w:p>
                  <w:pPr>
                    <w:jc w:val="center"/>
                    <w:rPr>
                      <w:rFonts w:hint="eastAsia" w:ascii="Times New Roman" w:hAnsi="Times New Roman" w:cs="Times New Roman"/>
                      <w:b/>
                      <w:bCs/>
                      <w:color w:val="0000FF"/>
                      <w:vertAlign w:val="baseline"/>
                      <w:lang w:val="en-US" w:eastAsia="zh-CN"/>
                    </w:rPr>
                  </w:pPr>
                </w:p>
                <w:p>
                  <w:pPr>
                    <w:jc w:val="center"/>
                    <w:rPr>
                      <w:rFonts w:hint="eastAsia" w:ascii="Times New Roman" w:hAnsi="Times New Roman" w:cs="Times New Roman"/>
                      <w:b/>
                      <w:bCs/>
                      <w:color w:val="0000FF"/>
                      <w:vertAlign w:val="baseline"/>
                      <w:lang w:val="en-US" w:eastAsia="zh-CN"/>
                    </w:rPr>
                  </w:pPr>
                  <w:r>
                    <w:rPr>
                      <w:rFonts w:hint="eastAsia" w:ascii="Times New Roman" w:hAnsi="Times New Roman" w:cs="Times New Roman"/>
                      <w:b/>
                      <w:bCs/>
                      <w:color w:val="0000FF"/>
                      <w:vertAlign w:val="baseline"/>
                      <w:lang w:val="en-US" w:eastAsia="zh-CN"/>
                    </w:rPr>
                    <w:t>技</w:t>
                  </w:r>
                </w:p>
                <w:p>
                  <w:pPr>
                    <w:jc w:val="center"/>
                    <w:rPr>
                      <w:rFonts w:hint="eastAsia" w:ascii="Times New Roman" w:hAnsi="Times New Roman" w:cs="Times New Roman"/>
                      <w:b/>
                      <w:bCs/>
                      <w:color w:val="0000FF"/>
                      <w:vertAlign w:val="baseline"/>
                      <w:lang w:val="en-US" w:eastAsia="zh-CN"/>
                    </w:rPr>
                  </w:pPr>
                  <w:r>
                    <w:rPr>
                      <w:rFonts w:hint="eastAsia" w:ascii="Times New Roman" w:hAnsi="Times New Roman" w:cs="Times New Roman"/>
                      <w:b/>
                      <w:bCs/>
                      <w:color w:val="0000FF"/>
                      <w:vertAlign w:val="baseline"/>
                      <w:lang w:val="en-US" w:eastAsia="zh-CN"/>
                    </w:rPr>
                    <w:t>术</w:t>
                  </w:r>
                </w:p>
                <w:p>
                  <w:pPr>
                    <w:jc w:val="center"/>
                    <w:rPr>
                      <w:rFonts w:hint="eastAsia" w:ascii="Times New Roman" w:hAnsi="Times New Roman" w:cs="Times New Roman"/>
                      <w:b/>
                      <w:bCs/>
                      <w:color w:val="0000FF"/>
                      <w:vertAlign w:val="baseline"/>
                      <w:lang w:val="en-US" w:eastAsia="zh-CN"/>
                    </w:rPr>
                  </w:pPr>
                  <w:r>
                    <w:rPr>
                      <w:rFonts w:hint="eastAsia" w:ascii="Times New Roman" w:hAnsi="Times New Roman" w:cs="Times New Roman"/>
                      <w:b/>
                      <w:bCs/>
                      <w:color w:val="0000FF"/>
                      <w:vertAlign w:val="baseline"/>
                      <w:lang w:val="en-US" w:eastAsia="zh-CN"/>
                    </w:rPr>
                    <w:t>节</w:t>
                  </w:r>
                </w:p>
                <w:p>
                  <w:pPr>
                    <w:jc w:val="center"/>
                    <w:rPr>
                      <w:rFonts w:hint="default" w:ascii="Times New Roman" w:hAnsi="Times New Roman" w:cs="Times New Roman"/>
                      <w:b/>
                      <w:bCs/>
                      <w:color w:val="0000FF"/>
                      <w:vertAlign w:val="baseline"/>
                      <w:lang w:val="en-US" w:eastAsia="zh-CN"/>
                    </w:rPr>
                  </w:pPr>
                  <w:r>
                    <w:rPr>
                      <w:rFonts w:hint="eastAsia" w:ascii="Times New Roman" w:hAnsi="Times New Roman" w:cs="Times New Roman"/>
                      <w:b/>
                      <w:bCs/>
                      <w:color w:val="0000FF"/>
                      <w:vertAlign w:val="baseline"/>
                      <w:lang w:val="en-US" w:eastAsia="zh-CN"/>
                    </w:rPr>
                    <w:t>能</w:t>
                  </w:r>
                </w:p>
              </w:tc>
              <w:tc>
                <w:tcPr>
                  <w:tcW w:w="4313" w:type="dxa"/>
                  <w:gridSpan w:val="4"/>
                </w:tcPr>
                <w:p>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购置模框、模底板组件、小车底板等设备120多台。整个项目从2018年1月起建设，至2018年12月底竣工投产，年产能提升20%，新增产值3000余万元，新增利税600多万元，并且通过清洁自动化生产，及废水、废气、废渣循环利用，年节约用水22000吨，节约用气7500吨，单位产品电耗降低15%，综合</w:t>
                  </w:r>
                </w:p>
                <w:p>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生产能耗降低20%</w:t>
                  </w:r>
                  <w:r>
                    <w:rPr>
                      <w:rFonts w:hint="eastAsia" w:ascii="Times New Roman" w:hAnsi="Times New Roman" w:cs="Times New Roman"/>
                      <w:vertAlign w:val="baseline"/>
                      <w:lang w:val="en-US" w:eastAsia="zh-CN"/>
                    </w:rPr>
                    <w:t>；</w:t>
                  </w:r>
                </w:p>
              </w:tc>
              <w:tc>
                <w:tcPr>
                  <w:tcW w:w="1051" w:type="dxa"/>
                  <w:gridSpan w:val="2"/>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同上</w:t>
                  </w:r>
                </w:p>
              </w:tc>
              <w:tc>
                <w:tcPr>
                  <w:tcW w:w="1123" w:type="dxa"/>
                  <w:gridSpan w:val="2"/>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5000.00（元）</w:t>
                  </w:r>
                </w:p>
              </w:tc>
              <w:tc>
                <w:tcPr>
                  <w:tcW w:w="1095" w:type="dxa"/>
                  <w:gridSpan w:val="2"/>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2020.12</w:t>
                  </w:r>
                </w:p>
              </w:tc>
              <w:tc>
                <w:tcPr>
                  <w:tcW w:w="1027"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633" w:type="dxa"/>
                  <w:vMerge w:val="continue"/>
                </w:tcPr>
                <w:p>
                  <w:pPr>
                    <w:jc w:val="center"/>
                    <w:rPr>
                      <w:rFonts w:hint="eastAsia" w:ascii="Times New Roman" w:hAnsi="Times New Roman" w:cs="Times New Roman"/>
                      <w:vertAlign w:val="baseline"/>
                      <w:lang w:val="en-US" w:eastAsia="zh-CN"/>
                    </w:rPr>
                  </w:pPr>
                </w:p>
              </w:tc>
              <w:tc>
                <w:tcPr>
                  <w:tcW w:w="858" w:type="dxa"/>
                  <w:vMerge w:val="continue"/>
                </w:tcPr>
                <w:p>
                  <w:pPr>
                    <w:jc w:val="center"/>
                    <w:rPr>
                      <w:rFonts w:hint="eastAsia" w:ascii="Times New Roman" w:hAnsi="Times New Roman" w:cs="Times New Roman"/>
                      <w:vertAlign w:val="baseline"/>
                      <w:lang w:val="en-US" w:eastAsia="zh-CN"/>
                    </w:rPr>
                  </w:pPr>
                </w:p>
              </w:tc>
              <w:tc>
                <w:tcPr>
                  <w:tcW w:w="4313" w:type="dxa"/>
                  <w:gridSpan w:val="4"/>
                </w:tcPr>
                <w:p>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配电设计尽量靠近负荷较大的设备，降低线路损耗</w:t>
                  </w: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变压器产品型号为：S11-M-100/10，比S10型变压器空载损耗低</w:t>
                  </w: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选用节能设备、照明灯具，减少耗电</w:t>
                  </w:r>
                  <w:r>
                    <w:rPr>
                      <w:rFonts w:hint="eastAsia" w:ascii="Times New Roman" w:hAnsi="Times New Roman" w:cs="Times New Roman"/>
                      <w:vertAlign w:val="baseline"/>
                      <w:lang w:val="en-US" w:eastAsia="zh-CN"/>
                    </w:rPr>
                    <w:t>；</w:t>
                  </w:r>
                </w:p>
              </w:tc>
              <w:tc>
                <w:tcPr>
                  <w:tcW w:w="1051" w:type="dxa"/>
                  <w:gridSpan w:val="2"/>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同上</w:t>
                  </w:r>
                </w:p>
              </w:tc>
              <w:tc>
                <w:tcPr>
                  <w:tcW w:w="1123" w:type="dxa"/>
                  <w:gridSpan w:val="2"/>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10000.00（元）</w:t>
                  </w:r>
                </w:p>
              </w:tc>
              <w:tc>
                <w:tcPr>
                  <w:tcW w:w="1095" w:type="dxa"/>
                  <w:gridSpan w:val="2"/>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2020.12</w:t>
                  </w:r>
                </w:p>
              </w:tc>
              <w:tc>
                <w:tcPr>
                  <w:tcW w:w="1027"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633" w:type="dxa"/>
                  <w:vMerge w:val="continue"/>
                </w:tcPr>
                <w:p>
                  <w:pPr>
                    <w:jc w:val="center"/>
                    <w:rPr>
                      <w:rFonts w:hint="eastAsia" w:ascii="Times New Roman" w:hAnsi="Times New Roman" w:cs="Times New Roman"/>
                      <w:vertAlign w:val="baseline"/>
                      <w:lang w:val="en-US" w:eastAsia="zh-CN"/>
                    </w:rPr>
                  </w:pPr>
                </w:p>
              </w:tc>
              <w:tc>
                <w:tcPr>
                  <w:tcW w:w="858" w:type="dxa"/>
                  <w:vMerge w:val="continue"/>
                </w:tcPr>
                <w:p>
                  <w:pPr>
                    <w:jc w:val="center"/>
                    <w:rPr>
                      <w:rFonts w:hint="eastAsia" w:ascii="Times New Roman" w:hAnsi="Times New Roman" w:cs="Times New Roman"/>
                      <w:vertAlign w:val="baseline"/>
                      <w:lang w:val="en-US" w:eastAsia="zh-CN"/>
                    </w:rPr>
                  </w:pPr>
                </w:p>
              </w:tc>
              <w:tc>
                <w:tcPr>
                  <w:tcW w:w="4313" w:type="dxa"/>
                  <w:gridSpan w:val="4"/>
                </w:tcPr>
                <w:p>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建筑物应尽量满足通风、采光要求，合理配置设备和灯具的数量及位置，在满足使用和照明的前提下尽量减少设备和灯具的装机容量</w:t>
                  </w: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厂区路灯均采用太阳能、风能联合发电储电装置供电，不使用市电</w:t>
                  </w:r>
                  <w:r>
                    <w:rPr>
                      <w:rFonts w:hint="eastAsia" w:ascii="Times New Roman" w:hAnsi="Times New Roman" w:cs="Times New Roman"/>
                      <w:vertAlign w:val="baseline"/>
                      <w:lang w:val="en-US" w:eastAsia="zh-CN"/>
                    </w:rPr>
                    <w:t>；</w:t>
                  </w:r>
                </w:p>
              </w:tc>
              <w:tc>
                <w:tcPr>
                  <w:tcW w:w="1051" w:type="dxa"/>
                  <w:gridSpan w:val="2"/>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同上</w:t>
                  </w:r>
                </w:p>
              </w:tc>
              <w:tc>
                <w:tcPr>
                  <w:tcW w:w="1123" w:type="dxa"/>
                  <w:gridSpan w:val="2"/>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10000.00（元）</w:t>
                  </w:r>
                </w:p>
              </w:tc>
              <w:tc>
                <w:tcPr>
                  <w:tcW w:w="1095" w:type="dxa"/>
                  <w:gridSpan w:val="2"/>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2020.12</w:t>
                  </w:r>
                </w:p>
              </w:tc>
              <w:tc>
                <w:tcPr>
                  <w:tcW w:w="1027"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33" w:type="dxa"/>
                  <w:vMerge w:val="continue"/>
                </w:tcPr>
                <w:p>
                  <w:pPr>
                    <w:jc w:val="center"/>
                    <w:rPr>
                      <w:rFonts w:hint="eastAsia" w:ascii="Times New Roman" w:hAnsi="Times New Roman" w:cs="Times New Roman"/>
                      <w:vertAlign w:val="baseline"/>
                      <w:lang w:val="en-US" w:eastAsia="zh-CN"/>
                    </w:rPr>
                  </w:pPr>
                </w:p>
              </w:tc>
              <w:tc>
                <w:tcPr>
                  <w:tcW w:w="858" w:type="dxa"/>
                  <w:vMerge w:val="continue"/>
                </w:tcPr>
                <w:p>
                  <w:pPr>
                    <w:jc w:val="center"/>
                    <w:rPr>
                      <w:rFonts w:hint="eastAsia" w:ascii="Times New Roman" w:hAnsi="Times New Roman" w:cs="Times New Roman"/>
                      <w:vertAlign w:val="baseline"/>
                      <w:lang w:val="en-US" w:eastAsia="zh-CN"/>
                    </w:rPr>
                  </w:pPr>
                </w:p>
              </w:tc>
              <w:tc>
                <w:tcPr>
                  <w:tcW w:w="4313" w:type="dxa"/>
                  <w:gridSpan w:val="4"/>
                </w:tcPr>
                <w:p>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本项目厂房、办公楼、食堂、仓库外墙均采用节能建材和节能设计，达到国家建筑节能的要求，减少空调用电</w:t>
                  </w:r>
                  <w:r>
                    <w:rPr>
                      <w:rFonts w:hint="eastAsia" w:ascii="Times New Roman" w:hAnsi="Times New Roman" w:cs="Times New Roman"/>
                      <w:vertAlign w:val="baseline"/>
                      <w:lang w:val="en-US" w:eastAsia="zh-CN"/>
                    </w:rPr>
                    <w:t>；</w:t>
                  </w:r>
                </w:p>
              </w:tc>
              <w:tc>
                <w:tcPr>
                  <w:tcW w:w="1051" w:type="dxa"/>
                  <w:gridSpan w:val="2"/>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同上</w:t>
                  </w:r>
                </w:p>
              </w:tc>
              <w:tc>
                <w:tcPr>
                  <w:tcW w:w="1123" w:type="dxa"/>
                  <w:gridSpan w:val="2"/>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10000.00（元）</w:t>
                  </w:r>
                </w:p>
              </w:tc>
              <w:tc>
                <w:tcPr>
                  <w:tcW w:w="1095" w:type="dxa"/>
                  <w:gridSpan w:val="2"/>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2020.12</w:t>
                  </w:r>
                </w:p>
              </w:tc>
              <w:tc>
                <w:tcPr>
                  <w:tcW w:w="1027"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33" w:type="dxa"/>
                  <w:vMerge w:val="continue"/>
                </w:tcPr>
                <w:p>
                  <w:pPr>
                    <w:jc w:val="center"/>
                    <w:rPr>
                      <w:rFonts w:hint="eastAsia" w:ascii="Times New Roman" w:hAnsi="Times New Roman" w:cs="Times New Roman"/>
                      <w:vertAlign w:val="baseline"/>
                      <w:lang w:val="en-US" w:eastAsia="zh-CN"/>
                    </w:rPr>
                  </w:pPr>
                </w:p>
              </w:tc>
              <w:tc>
                <w:tcPr>
                  <w:tcW w:w="858" w:type="dxa"/>
                  <w:vMerge w:val="continue"/>
                </w:tcPr>
                <w:p>
                  <w:pPr>
                    <w:jc w:val="center"/>
                    <w:rPr>
                      <w:rFonts w:hint="eastAsia" w:ascii="Times New Roman" w:hAnsi="Times New Roman" w:cs="Times New Roman"/>
                      <w:vertAlign w:val="baseline"/>
                      <w:lang w:val="en-US" w:eastAsia="zh-CN"/>
                    </w:rPr>
                  </w:pPr>
                </w:p>
              </w:tc>
              <w:tc>
                <w:tcPr>
                  <w:tcW w:w="4313" w:type="dxa"/>
                  <w:gridSpan w:val="4"/>
                </w:tcPr>
                <w:p>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蒸压釜尽量保持经济运行，多导汽，减少蒸汽用量，蒸压釜利用倒汽技术实行蒸汽回收再利用，余汽由管道通往静停室进行保温</w:t>
                  </w:r>
                  <w:r>
                    <w:rPr>
                      <w:rFonts w:hint="eastAsia" w:ascii="Times New Roman" w:hAnsi="Times New Roman" w:cs="Times New Roman"/>
                      <w:vertAlign w:val="baseline"/>
                      <w:lang w:val="en-US" w:eastAsia="zh-CN"/>
                    </w:rPr>
                    <w:t>；</w:t>
                  </w:r>
                </w:p>
              </w:tc>
              <w:tc>
                <w:tcPr>
                  <w:tcW w:w="1051" w:type="dxa"/>
                  <w:gridSpan w:val="2"/>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同上</w:t>
                  </w:r>
                </w:p>
              </w:tc>
              <w:tc>
                <w:tcPr>
                  <w:tcW w:w="1123" w:type="dxa"/>
                  <w:gridSpan w:val="2"/>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10000.00（元）</w:t>
                  </w:r>
                </w:p>
              </w:tc>
              <w:tc>
                <w:tcPr>
                  <w:tcW w:w="1095" w:type="dxa"/>
                  <w:gridSpan w:val="2"/>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2020.12</w:t>
                  </w:r>
                </w:p>
              </w:tc>
              <w:tc>
                <w:tcPr>
                  <w:tcW w:w="1027"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633" w:type="dxa"/>
                  <w:vMerge w:val="continue"/>
                </w:tcPr>
                <w:p>
                  <w:pPr>
                    <w:jc w:val="center"/>
                    <w:rPr>
                      <w:rFonts w:hint="eastAsia" w:ascii="Times New Roman" w:hAnsi="Times New Roman" w:cs="Times New Roman"/>
                      <w:vertAlign w:val="baseline"/>
                      <w:lang w:val="en-US" w:eastAsia="zh-CN"/>
                    </w:rPr>
                  </w:pPr>
                </w:p>
              </w:tc>
              <w:tc>
                <w:tcPr>
                  <w:tcW w:w="858" w:type="dxa"/>
                  <w:vMerge w:val="continue"/>
                </w:tcPr>
                <w:p>
                  <w:pPr>
                    <w:jc w:val="center"/>
                    <w:rPr>
                      <w:rFonts w:hint="eastAsia" w:ascii="Times New Roman" w:hAnsi="Times New Roman" w:cs="Times New Roman"/>
                      <w:vertAlign w:val="baseline"/>
                      <w:lang w:val="en-US" w:eastAsia="zh-CN"/>
                    </w:rPr>
                  </w:pPr>
                </w:p>
              </w:tc>
              <w:tc>
                <w:tcPr>
                  <w:tcW w:w="4313" w:type="dxa"/>
                  <w:gridSpan w:val="4"/>
                </w:tcPr>
                <w:p>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本项目生产设备应尽可能最大量的采用循环用水，生产用水无外排，蒸汽冷凝水重新投入到生产（制浆）中利用，蒸汽冷凝水由于是热水、可降低石灰的使用量，达到节能减排的目的</w:t>
                  </w:r>
                  <w:r>
                    <w:rPr>
                      <w:rFonts w:hint="eastAsia" w:ascii="Times New Roman" w:hAnsi="Times New Roman" w:cs="Times New Roman"/>
                      <w:vertAlign w:val="baseline"/>
                      <w:lang w:val="en-US" w:eastAsia="zh-CN"/>
                    </w:rPr>
                    <w:t>；</w:t>
                  </w:r>
                </w:p>
              </w:tc>
              <w:tc>
                <w:tcPr>
                  <w:tcW w:w="1051" w:type="dxa"/>
                  <w:gridSpan w:val="2"/>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同上</w:t>
                  </w:r>
                </w:p>
              </w:tc>
              <w:tc>
                <w:tcPr>
                  <w:tcW w:w="1123" w:type="dxa"/>
                  <w:gridSpan w:val="2"/>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10000.00（元）</w:t>
                  </w:r>
                </w:p>
              </w:tc>
              <w:tc>
                <w:tcPr>
                  <w:tcW w:w="1095" w:type="dxa"/>
                  <w:gridSpan w:val="2"/>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2020.12</w:t>
                  </w:r>
                </w:p>
              </w:tc>
              <w:tc>
                <w:tcPr>
                  <w:tcW w:w="1027"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633" w:type="dxa"/>
                  <w:vMerge w:val="continue"/>
                </w:tcPr>
                <w:p>
                  <w:pPr>
                    <w:jc w:val="center"/>
                    <w:rPr>
                      <w:rFonts w:hint="eastAsia" w:ascii="Times New Roman" w:hAnsi="Times New Roman" w:cs="Times New Roman"/>
                      <w:vertAlign w:val="baseline"/>
                      <w:lang w:val="en-US" w:eastAsia="zh-CN"/>
                    </w:rPr>
                  </w:pPr>
                </w:p>
              </w:tc>
              <w:tc>
                <w:tcPr>
                  <w:tcW w:w="858" w:type="dxa"/>
                  <w:vMerge w:val="continue"/>
                </w:tcPr>
                <w:p>
                  <w:pPr>
                    <w:jc w:val="center"/>
                    <w:rPr>
                      <w:rFonts w:hint="eastAsia" w:ascii="Times New Roman" w:hAnsi="Times New Roman" w:cs="Times New Roman"/>
                      <w:vertAlign w:val="baseline"/>
                      <w:lang w:val="en-US" w:eastAsia="zh-CN"/>
                    </w:rPr>
                  </w:pPr>
                </w:p>
              </w:tc>
              <w:tc>
                <w:tcPr>
                  <w:tcW w:w="4313" w:type="dxa"/>
                  <w:gridSpan w:val="4"/>
                </w:tcPr>
                <w:p>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本项目在建筑物上设计雨水收集装置，最大</w:t>
                  </w:r>
                </w:p>
                <w:p>
                  <w:pPr>
                    <w:jc w:val="left"/>
                    <w:rPr>
                      <w:rFonts w:hint="default"/>
                      <w:lang w:val="en-US" w:eastAsia="zh-CN"/>
                    </w:rPr>
                  </w:pPr>
                  <w:r>
                    <w:rPr>
                      <w:rFonts w:hint="default" w:ascii="Times New Roman" w:hAnsi="Times New Roman" w:cs="Times New Roman"/>
                      <w:vertAlign w:val="baseline"/>
                      <w:lang w:val="en-US" w:eastAsia="zh-CN"/>
                    </w:rPr>
                    <w:t>限度使用雨水。收集来的水经过管道可以：</w:t>
                  </w:r>
                </w:p>
                <w:p>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①直接投入到生产中利用</w:t>
                  </w: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②也可以由管道抽往自动洗车器蓄水池对车辆进行冲洗</w:t>
                  </w: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③抽往自动洗车器蓄水池用于喷头对路面、堆场进行降尘</w:t>
                  </w: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④、洒水车利用雨水喷洒路面、绿化等进行降尘作业。</w:t>
                  </w:r>
                </w:p>
              </w:tc>
              <w:tc>
                <w:tcPr>
                  <w:tcW w:w="1051" w:type="dxa"/>
                  <w:gridSpan w:val="2"/>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同上</w:t>
                  </w:r>
                </w:p>
              </w:tc>
              <w:tc>
                <w:tcPr>
                  <w:tcW w:w="1123" w:type="dxa"/>
                  <w:gridSpan w:val="2"/>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10000.00（元）</w:t>
                  </w:r>
                </w:p>
              </w:tc>
              <w:tc>
                <w:tcPr>
                  <w:tcW w:w="1095" w:type="dxa"/>
                  <w:gridSpan w:val="2"/>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2020.12</w:t>
                  </w:r>
                </w:p>
              </w:tc>
              <w:tc>
                <w:tcPr>
                  <w:tcW w:w="1027"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491" w:type="dxa"/>
                  <w:gridSpan w:val="2"/>
                  <w:vAlign w:val="top"/>
                </w:tcPr>
                <w:p>
                  <w:pPr>
                    <w:jc w:val="left"/>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编制</w:t>
                  </w:r>
                </w:p>
              </w:tc>
              <w:tc>
                <w:tcPr>
                  <w:tcW w:w="1204" w:type="dxa"/>
                  <w:vAlign w:val="top"/>
                </w:tcPr>
                <w:p>
                  <w:pPr>
                    <w:jc w:val="left"/>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张成根</w:t>
                  </w:r>
                </w:p>
              </w:tc>
              <w:tc>
                <w:tcPr>
                  <w:tcW w:w="1204" w:type="dxa"/>
                  <w:vAlign w:val="top"/>
                </w:tcPr>
                <w:p>
                  <w:pPr>
                    <w:jc w:val="left"/>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审核</w:t>
                  </w:r>
                </w:p>
              </w:tc>
              <w:tc>
                <w:tcPr>
                  <w:tcW w:w="1204" w:type="dxa"/>
                  <w:vAlign w:val="top"/>
                </w:tcPr>
                <w:p>
                  <w:pPr>
                    <w:jc w:val="left"/>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黄祥政</w:t>
                  </w:r>
                </w:p>
              </w:tc>
              <w:tc>
                <w:tcPr>
                  <w:tcW w:w="1204" w:type="dxa"/>
                  <w:gridSpan w:val="2"/>
                  <w:vAlign w:val="top"/>
                </w:tcPr>
                <w:p>
                  <w:pPr>
                    <w:jc w:val="left"/>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批准</w:t>
                  </w:r>
                </w:p>
              </w:tc>
              <w:tc>
                <w:tcPr>
                  <w:tcW w:w="1204" w:type="dxa"/>
                  <w:gridSpan w:val="2"/>
                  <w:vAlign w:val="top"/>
                </w:tcPr>
                <w:p>
                  <w:pPr>
                    <w:jc w:val="left"/>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彭秀</w:t>
                  </w:r>
                </w:p>
              </w:tc>
              <w:tc>
                <w:tcPr>
                  <w:tcW w:w="1204" w:type="dxa"/>
                  <w:gridSpan w:val="2"/>
                  <w:vAlign w:val="top"/>
                </w:tcPr>
                <w:p>
                  <w:pPr>
                    <w:jc w:val="left"/>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更新日期</w:t>
                  </w:r>
                </w:p>
              </w:tc>
              <w:tc>
                <w:tcPr>
                  <w:tcW w:w="1385" w:type="dxa"/>
                  <w:gridSpan w:val="2"/>
                  <w:vAlign w:val="top"/>
                </w:tcPr>
                <w:p>
                  <w:pPr>
                    <w:jc w:val="left"/>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2020.1.28</w:t>
                  </w:r>
                </w:p>
              </w:tc>
            </w:tr>
          </w:tbl>
          <w:p>
            <w:pPr>
              <w:pStyle w:val="2"/>
              <w:rPr>
                <w:rFonts w:hint="default" w:cs="Times New Roman"/>
                <w:kern w:val="2"/>
                <w:sz w:val="21"/>
                <w:szCs w:val="20"/>
                <w:lang w:val="en-US" w:eastAsia="zh-CN" w:bidi="ar-SA"/>
              </w:rPr>
            </w:pPr>
          </w:p>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经检查，管理方案完成较好。</w:t>
            </w:r>
          </w:p>
          <w:p>
            <w:pPr>
              <w:pStyle w:val="2"/>
              <w:rPr>
                <w:rFonts w:hint="default"/>
                <w:lang w:val="en-US" w:eastAsia="zh-CN"/>
              </w:rPr>
            </w:pPr>
          </w:p>
        </w:tc>
        <w:tc>
          <w:tcPr>
            <w:tcW w:w="722" w:type="dxa"/>
          </w:tcPr>
          <w:p>
            <w:pPr>
              <w:rPr>
                <w:szCs w:val="21"/>
              </w:rPr>
            </w:pPr>
          </w:p>
          <w:p>
            <w:pPr>
              <w:rPr>
                <w:szCs w:val="21"/>
              </w:rPr>
            </w:pPr>
          </w:p>
          <w:p>
            <w:pPr>
              <w:rPr>
                <w:szCs w:val="21"/>
              </w:rPr>
            </w:pPr>
          </w:p>
          <w:p>
            <w:pPr>
              <w:rPr>
                <w:szCs w:val="21"/>
              </w:rPr>
            </w:pPr>
          </w:p>
          <w:p>
            <w:pPr>
              <w:ind w:firstLine="210" w:firstLineChars="100"/>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2160" w:type="dxa"/>
          </w:tcPr>
          <w:p>
            <w:pPr>
              <w:rPr>
                <w:rFonts w:hint="eastAsia" w:ascii="宋体" w:hAnsi="宋体"/>
                <w:szCs w:val="21"/>
              </w:rPr>
            </w:pPr>
            <w:r>
              <w:rPr>
                <w:rFonts w:hint="eastAsia" w:ascii="宋体" w:hAnsi="宋体"/>
                <w:szCs w:val="21"/>
              </w:rPr>
              <w:t>能源评审、</w:t>
            </w:r>
          </w:p>
          <w:p>
            <w:pPr>
              <w:rPr>
                <w:rFonts w:hint="eastAsia" w:ascii="宋体" w:hAnsi="宋体"/>
                <w:szCs w:val="21"/>
              </w:rPr>
            </w:pPr>
          </w:p>
          <w:p>
            <w:pPr>
              <w:rPr>
                <w:rFonts w:hint="eastAsia" w:ascii="宋体" w:hAnsi="宋体"/>
                <w:szCs w:val="21"/>
              </w:rPr>
            </w:pPr>
            <w:r>
              <w:rPr>
                <w:rFonts w:hint="eastAsia" w:ascii="宋体" w:hAnsi="宋体"/>
                <w:szCs w:val="21"/>
              </w:rPr>
              <w:t>能源绩效参数</w:t>
            </w:r>
          </w:p>
          <w:p>
            <w:pPr>
              <w:rPr>
                <w:rFonts w:hint="eastAsia" w:ascii="宋体" w:hAnsi="宋体"/>
                <w:szCs w:val="21"/>
              </w:rPr>
            </w:pPr>
          </w:p>
          <w:p>
            <w:pPr>
              <w:rPr>
                <w:szCs w:val="21"/>
              </w:rPr>
            </w:pPr>
            <w:r>
              <w:rPr>
                <w:rFonts w:hint="eastAsia" w:ascii="宋体" w:hAnsi="宋体"/>
                <w:szCs w:val="21"/>
              </w:rPr>
              <w:t>能源基准、</w:t>
            </w:r>
          </w:p>
        </w:tc>
        <w:tc>
          <w:tcPr>
            <w:tcW w:w="960" w:type="dxa"/>
          </w:tcPr>
          <w:p>
            <w:r>
              <w:t xml:space="preserve">6.3 </w:t>
            </w:r>
          </w:p>
          <w:p>
            <w:pPr>
              <w:pStyle w:val="3"/>
              <w:rPr>
                <w:rFonts w:ascii="宋体" w:hAnsi="宋体"/>
                <w:szCs w:val="21"/>
              </w:rPr>
            </w:pPr>
          </w:p>
          <w:p>
            <w:pPr>
              <w:pStyle w:val="3"/>
              <w:rPr>
                <w:rFonts w:ascii="宋体" w:hAnsi="宋体"/>
                <w:szCs w:val="21"/>
              </w:rPr>
            </w:pPr>
            <w:r>
              <w:rPr>
                <w:rFonts w:ascii="宋体" w:hAnsi="宋体"/>
                <w:szCs w:val="21"/>
              </w:rPr>
              <w:t xml:space="preserve">6.4 </w:t>
            </w:r>
          </w:p>
          <w:p>
            <w:pPr>
              <w:pStyle w:val="3"/>
              <w:rPr>
                <w:rFonts w:ascii="宋体" w:hAnsi="宋体"/>
                <w:szCs w:val="21"/>
              </w:rPr>
            </w:pPr>
          </w:p>
          <w:p>
            <w:pPr>
              <w:pStyle w:val="3"/>
              <w:rPr>
                <w:rFonts w:ascii="宋体" w:hAnsi="宋体"/>
                <w:szCs w:val="21"/>
              </w:rPr>
            </w:pPr>
            <w:r>
              <w:rPr>
                <w:rFonts w:ascii="宋体" w:hAnsi="宋体"/>
                <w:szCs w:val="21"/>
              </w:rPr>
              <w:t xml:space="preserve">6.5 </w:t>
            </w:r>
          </w:p>
        </w:tc>
        <w:tc>
          <w:tcPr>
            <w:tcW w:w="10867" w:type="dxa"/>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2020年2月进行了能源评审，其中生产部的能源消耗：</w:t>
            </w:r>
          </w:p>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经统计分析，本公司主要消耗的能源为电力、天然气、自来水（新水）；</w:t>
            </w:r>
          </w:p>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电力——来源于国家电网供电公司；经过变压转换输出到各个生产车间用于设备运行；</w:t>
            </w:r>
          </w:p>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天然气——来源于中石化湖北襄阳分公司；采购电力采购天然气用于熔炼车间隧道窑设备运行；</w:t>
            </w:r>
          </w:p>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新水——本厂管道自取水，用于制壳车间（融化炉）、热处理、蜡模车间相关过程经蓄水池循环利用。</w:t>
            </w:r>
          </w:p>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办公耗电：空调、照明、电脑；</w:t>
            </w:r>
          </w:p>
          <w:p>
            <w:pPr>
              <w:pStyle w:val="2"/>
              <w:ind w:left="0" w:leftChars="0" w:firstLine="0" w:firstLineChars="0"/>
              <w:rPr>
                <w:rFonts w:hint="eastAsia" w:ascii="宋体" w:hAnsi="宋体" w:eastAsia="宋体" w:cs="Times New Roman"/>
                <w:kern w:val="2"/>
                <w:sz w:val="21"/>
                <w:szCs w:val="21"/>
                <w:lang w:val="en-US" w:eastAsia="zh-CN" w:bidi="ar-SA"/>
              </w:rPr>
            </w:pPr>
          </w:p>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主要用能区域</w:t>
            </w:r>
          </w:p>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 主要生产系统：汽车铸钢配件产线（融化炉、热处理炉）。</w:t>
            </w:r>
          </w:p>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 辅助生产系统： 综合办（能源体系推进部门）、财务部</w:t>
            </w:r>
            <w:r>
              <w:rPr>
                <w:rFonts w:hint="eastAsia" w:ascii="宋体" w:hAnsi="宋体" w:cs="Times New Roman"/>
                <w:kern w:val="2"/>
                <w:sz w:val="21"/>
                <w:szCs w:val="21"/>
                <w:lang w:val="en-US" w:eastAsia="zh-CN" w:bidi="ar-SA"/>
              </w:rPr>
              <w:t>、采购部、研发部</w:t>
            </w:r>
            <w:r>
              <w:rPr>
                <w:rFonts w:hint="eastAsia" w:ascii="宋体" w:hAnsi="宋体" w:eastAsia="宋体" w:cs="Times New Roman"/>
                <w:kern w:val="2"/>
                <w:sz w:val="21"/>
                <w:szCs w:val="21"/>
                <w:lang w:val="en-US" w:eastAsia="zh-CN" w:bidi="ar-SA"/>
              </w:rPr>
              <w:t>等过程。</w:t>
            </w:r>
          </w:p>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 附属生产系统：食堂等。</w:t>
            </w:r>
          </w:p>
          <w:p>
            <w:pPr>
              <w:pStyle w:val="2"/>
              <w:ind w:left="0" w:leftChars="0" w:firstLine="0" w:firstLineChars="0"/>
              <w:rPr>
                <w:rFonts w:hint="eastAsia" w:ascii="宋体" w:hAnsi="宋体" w:eastAsia="宋体" w:cs="Times New Roman"/>
                <w:kern w:val="2"/>
                <w:sz w:val="21"/>
                <w:szCs w:val="21"/>
                <w:lang w:val="en-US" w:eastAsia="zh-CN" w:bidi="ar-SA"/>
              </w:rPr>
            </w:pPr>
          </w:p>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生产工艺图：</w:t>
            </w:r>
          </w:p>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pict>
                <v:shape id="_x0000_i1025" o:spt="75" type="#_x0000_t75" style="height:204.05pt;width:500.35pt;" filled="f" o:preferrelative="t" stroked="f" coordsize="21600,21600">
                  <v:path/>
                  <v:fill on="f" focussize="0,0"/>
                  <v:stroke on="f"/>
                  <v:imagedata r:id="rId6" o:title=""/>
                  <o:lock v:ext="edit" aspectratio="t"/>
                  <w10:wrap type="none"/>
                  <w10:anchorlock/>
                </v:shape>
              </w:pict>
            </w:r>
          </w:p>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提供《生产设备台账》、《重点耗能设备清单》包括“可倾式台车电阻炉、立式升降台铣床、热处理炉”等；</w:t>
            </w:r>
          </w:p>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其中变压器功率因数确定为：0.95 ，符合标准要求（（GB/T17774-1996））；</w:t>
            </w:r>
          </w:p>
          <w:p>
            <w:pPr>
              <w:pStyle w:val="2"/>
              <w:ind w:left="0" w:leftChars="0" w:firstLine="0" w:firstLineChars="0"/>
              <w:rPr>
                <w:rFonts w:hint="eastAsia" w:ascii="宋体" w:hAnsi="宋体" w:eastAsia="宋体" w:cs="Times New Roman"/>
                <w:kern w:val="2"/>
                <w:sz w:val="21"/>
                <w:szCs w:val="21"/>
                <w:lang w:val="en-US" w:eastAsia="zh-CN" w:bidi="ar-SA"/>
              </w:rPr>
            </w:pPr>
          </w:p>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能源消耗分布</w:t>
            </w:r>
          </w:p>
          <w:p>
            <w:pPr>
              <w:pStyle w:val="2"/>
              <w:ind w:left="0" w:leftChars="0" w:firstLine="0" w:firstLineChars="0"/>
              <w:rPr>
                <w:rFonts w:hint="eastAsia" w:ascii="宋体" w:hAnsi="宋体" w:eastAsia="宋体" w:cs="Times New Roman"/>
                <w:kern w:val="2"/>
                <w:sz w:val="21"/>
                <w:szCs w:val="21"/>
                <w:lang w:val="en-US" w:eastAsia="zh-CN" w:bidi="ar-SA"/>
              </w:rPr>
            </w:pPr>
          </w:p>
          <w:tbl>
            <w:tblPr>
              <w:tblStyle w:val="10"/>
              <w:tblW w:w="1001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421"/>
              <w:gridCol w:w="1469"/>
              <w:gridCol w:w="1801"/>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pPr>
                    <w:pStyle w:val="2"/>
                    <w:ind w:left="0" w:leftChars="0" w:firstLine="0" w:firstLineChars="0"/>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年份</w:t>
                  </w:r>
                </w:p>
              </w:tc>
              <w:tc>
                <w:tcPr>
                  <w:tcW w:w="2421" w:type="dxa"/>
                  <w:noWrap w:val="0"/>
                  <w:vAlign w:val="center"/>
                </w:tcPr>
                <w:p>
                  <w:pPr>
                    <w:pStyle w:val="2"/>
                    <w:ind w:left="0" w:leftChars="0" w:firstLine="0" w:firstLineChars="0"/>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能源品种</w:t>
                  </w:r>
                </w:p>
              </w:tc>
              <w:tc>
                <w:tcPr>
                  <w:tcW w:w="1469" w:type="dxa"/>
                  <w:noWrap w:val="0"/>
                  <w:vAlign w:val="center"/>
                </w:tcPr>
                <w:p>
                  <w:pPr>
                    <w:pStyle w:val="2"/>
                    <w:ind w:left="0" w:leftChars="0" w:firstLine="0" w:firstLineChars="0"/>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单位</w:t>
                  </w:r>
                </w:p>
              </w:tc>
              <w:tc>
                <w:tcPr>
                  <w:tcW w:w="1801" w:type="dxa"/>
                  <w:noWrap w:val="0"/>
                  <w:vAlign w:val="center"/>
                </w:tcPr>
                <w:p>
                  <w:pPr>
                    <w:pStyle w:val="2"/>
                    <w:ind w:left="0" w:leftChars="0" w:firstLine="0" w:firstLineChars="0"/>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全年消耗</w:t>
                  </w:r>
                </w:p>
              </w:tc>
              <w:tc>
                <w:tcPr>
                  <w:tcW w:w="2959" w:type="dxa"/>
                  <w:noWrap w:val="0"/>
                  <w:vAlign w:val="center"/>
                </w:tcPr>
                <w:p>
                  <w:pPr>
                    <w:pStyle w:val="2"/>
                    <w:ind w:left="0" w:leftChars="0" w:firstLine="0" w:firstLineChars="0"/>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所占份额（%）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Merge w:val="restart"/>
                  <w:noWrap w:val="0"/>
                  <w:vAlign w:val="center"/>
                </w:tcPr>
                <w:p>
                  <w:pPr>
                    <w:pStyle w:val="2"/>
                    <w:ind w:left="0" w:leftChars="0" w:firstLine="0" w:firstLineChars="0"/>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2019</w:t>
                  </w:r>
                </w:p>
              </w:tc>
              <w:tc>
                <w:tcPr>
                  <w:tcW w:w="2421" w:type="dxa"/>
                  <w:noWrap w:val="0"/>
                  <w:vAlign w:val="center"/>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电力</w:t>
                  </w:r>
                </w:p>
              </w:tc>
              <w:tc>
                <w:tcPr>
                  <w:tcW w:w="1469" w:type="dxa"/>
                  <w:noWrap w:val="0"/>
                  <w:vAlign w:val="center"/>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Kw.h</w:t>
                  </w:r>
                </w:p>
              </w:tc>
              <w:tc>
                <w:tcPr>
                  <w:tcW w:w="1801" w:type="dxa"/>
                  <w:noWrap w:val="0"/>
                  <w:vAlign w:val="center"/>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2166252.606</w:t>
                  </w:r>
                </w:p>
              </w:tc>
              <w:tc>
                <w:tcPr>
                  <w:tcW w:w="2959" w:type="dxa"/>
                  <w:noWrap w:val="0"/>
                  <w:vAlign w:val="center"/>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69.6602069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60" w:type="dxa"/>
                  <w:vMerge w:val="continue"/>
                  <w:noWrap w:val="0"/>
                  <w:vAlign w:val="center"/>
                </w:tcPr>
                <w:p>
                  <w:pPr>
                    <w:pStyle w:val="2"/>
                    <w:ind w:left="0" w:leftChars="0" w:firstLine="0" w:firstLineChars="0"/>
                    <w:rPr>
                      <w:rFonts w:hint="default" w:ascii="宋体" w:hAnsi="宋体" w:eastAsia="宋体" w:cs="Times New Roman"/>
                      <w:kern w:val="2"/>
                      <w:sz w:val="21"/>
                      <w:szCs w:val="21"/>
                      <w:lang w:val="en-US" w:eastAsia="zh-CN" w:bidi="ar-SA"/>
                    </w:rPr>
                  </w:pPr>
                </w:p>
              </w:tc>
              <w:tc>
                <w:tcPr>
                  <w:tcW w:w="2421" w:type="dxa"/>
                  <w:noWrap w:val="0"/>
                  <w:vAlign w:val="center"/>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天然气</w:t>
                  </w:r>
                </w:p>
              </w:tc>
              <w:tc>
                <w:tcPr>
                  <w:tcW w:w="1469" w:type="dxa"/>
                  <w:noWrap w:val="0"/>
                  <w:vAlign w:val="center"/>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m³</w:t>
                  </w:r>
                </w:p>
              </w:tc>
              <w:tc>
                <w:tcPr>
                  <w:tcW w:w="1801" w:type="dxa"/>
                  <w:noWrap w:val="0"/>
                  <w:vAlign w:val="center"/>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776982</w:t>
                  </w:r>
                </w:p>
              </w:tc>
              <w:tc>
                <w:tcPr>
                  <w:tcW w:w="2959" w:type="dxa"/>
                  <w:noWrap w:val="0"/>
                  <w:vAlign w:val="center"/>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30.3397931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Merge w:val="continue"/>
                  <w:noWrap w:val="0"/>
                  <w:vAlign w:val="center"/>
                </w:tcPr>
                <w:p>
                  <w:pPr>
                    <w:pStyle w:val="2"/>
                    <w:ind w:left="0" w:leftChars="0" w:firstLine="0" w:firstLineChars="0"/>
                    <w:rPr>
                      <w:rFonts w:hint="default" w:ascii="宋体" w:hAnsi="宋体" w:eastAsia="宋体" w:cs="Times New Roman"/>
                      <w:kern w:val="2"/>
                      <w:sz w:val="21"/>
                      <w:szCs w:val="21"/>
                      <w:lang w:val="en-US" w:eastAsia="zh-CN" w:bidi="ar-SA"/>
                    </w:rPr>
                  </w:pPr>
                </w:p>
              </w:tc>
              <w:tc>
                <w:tcPr>
                  <w:tcW w:w="2421" w:type="dxa"/>
                  <w:noWrap w:val="0"/>
                  <w:vAlign w:val="center"/>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新水</w:t>
                  </w:r>
                </w:p>
              </w:tc>
              <w:tc>
                <w:tcPr>
                  <w:tcW w:w="1469" w:type="dxa"/>
                  <w:noWrap w:val="0"/>
                  <w:vAlign w:val="center"/>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m³</w:t>
                  </w:r>
                </w:p>
              </w:tc>
              <w:tc>
                <w:tcPr>
                  <w:tcW w:w="1801" w:type="dxa"/>
                  <w:noWrap w:val="0"/>
                  <w:vAlign w:val="center"/>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p>
              </w:tc>
              <w:tc>
                <w:tcPr>
                  <w:tcW w:w="2959" w:type="dxa"/>
                  <w:noWrap w:val="0"/>
                  <w:vAlign w:val="center"/>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Merge w:val="continue"/>
                  <w:noWrap w:val="0"/>
                  <w:vAlign w:val="center"/>
                </w:tcPr>
                <w:p>
                  <w:pPr>
                    <w:pStyle w:val="2"/>
                    <w:ind w:left="0" w:leftChars="0" w:firstLine="0" w:firstLineChars="0"/>
                    <w:rPr>
                      <w:rFonts w:hint="default" w:ascii="宋体" w:hAnsi="宋体" w:eastAsia="宋体" w:cs="Times New Roman"/>
                      <w:kern w:val="2"/>
                      <w:sz w:val="21"/>
                      <w:szCs w:val="21"/>
                      <w:lang w:val="en-US" w:eastAsia="zh-CN" w:bidi="ar-SA"/>
                    </w:rPr>
                  </w:pPr>
                </w:p>
              </w:tc>
              <w:tc>
                <w:tcPr>
                  <w:tcW w:w="2421" w:type="dxa"/>
                  <w:noWrap w:val="0"/>
                  <w:vAlign w:val="center"/>
                </w:tcPr>
                <w:p>
                  <w:pPr>
                    <w:pStyle w:val="2"/>
                    <w:ind w:left="0" w:leftChars="0" w:firstLine="0" w:firstLineChars="0"/>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合计</w:t>
                  </w:r>
                </w:p>
              </w:tc>
              <w:tc>
                <w:tcPr>
                  <w:tcW w:w="1469" w:type="dxa"/>
                  <w:noWrap w:val="0"/>
                  <w:vAlign w:val="center"/>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p>
              </w:tc>
              <w:tc>
                <w:tcPr>
                  <w:tcW w:w="1801" w:type="dxa"/>
                  <w:noWrap w:val="0"/>
                  <w:vAlign w:val="center"/>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p>
              </w:tc>
              <w:tc>
                <w:tcPr>
                  <w:tcW w:w="2959" w:type="dxa"/>
                  <w:noWrap w:val="0"/>
                  <w:vAlign w:val="center"/>
                </w:tcPr>
                <w:p>
                  <w:pPr>
                    <w:pStyle w:val="2"/>
                    <w:ind w:left="0" w:leftChars="0" w:firstLine="0" w:firstLineChars="0"/>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100</w:t>
                  </w:r>
                </w:p>
              </w:tc>
            </w:tr>
          </w:tbl>
          <w:p>
            <w:pPr>
              <w:pStyle w:val="2"/>
              <w:ind w:left="0" w:leftChars="0" w:firstLine="0" w:firstLineChars="0"/>
              <w:rPr>
                <w:rFonts w:hint="eastAsia" w:ascii="宋体" w:hAnsi="宋体" w:eastAsia="宋体" w:cs="Times New Roman"/>
                <w:kern w:val="2"/>
                <w:sz w:val="21"/>
                <w:szCs w:val="21"/>
                <w:lang w:val="en-US" w:eastAsia="zh-CN" w:bidi="ar-SA"/>
              </w:rPr>
            </w:pPr>
          </w:p>
          <w:p>
            <w:pPr>
              <w:pStyle w:val="2"/>
              <w:ind w:left="0" w:leftChars="0" w:firstLine="0" w:firstLineChars="0"/>
              <w:rPr>
                <w:rFonts w:hint="eastAsia" w:ascii="宋体" w:hAnsi="宋体" w:eastAsia="宋体" w:cs="Times New Roman"/>
                <w:kern w:val="2"/>
                <w:sz w:val="21"/>
                <w:szCs w:val="21"/>
                <w:lang w:val="en-US" w:eastAsia="zh-CN" w:bidi="ar-SA"/>
              </w:rPr>
            </w:pPr>
          </w:p>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绩效参数：</w:t>
            </w:r>
          </w:p>
          <w:tbl>
            <w:tblPr>
              <w:tblStyle w:val="11"/>
              <w:tblW w:w="1043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655"/>
              <w:gridCol w:w="1416"/>
              <w:gridCol w:w="3759"/>
              <w:gridCol w:w="145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类别</w:t>
                  </w:r>
                </w:p>
              </w:tc>
              <w:tc>
                <w:tcPr>
                  <w:tcW w:w="1655"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设备设施系统</w:t>
                  </w:r>
                </w:p>
              </w:tc>
              <w:tc>
                <w:tcPr>
                  <w:tcW w:w="1416"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能源绩效</w:t>
                  </w:r>
                </w:p>
              </w:tc>
              <w:tc>
                <w:tcPr>
                  <w:tcW w:w="3759"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能源绩效参数</w:t>
                  </w:r>
                </w:p>
              </w:tc>
              <w:tc>
                <w:tcPr>
                  <w:tcW w:w="1450"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控制变量</w:t>
                  </w:r>
                </w:p>
              </w:tc>
              <w:tc>
                <w:tcPr>
                  <w:tcW w:w="1160" w:type="dxa"/>
                  <w:noWrap w:val="0"/>
                  <w:vAlign w:val="top"/>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归一化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restart"/>
                  <w:noWrap w:val="0"/>
                  <w:vAlign w:val="top"/>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公司级</w:t>
                  </w:r>
                </w:p>
              </w:tc>
              <w:tc>
                <w:tcPr>
                  <w:tcW w:w="1655" w:type="dxa"/>
                  <w:vMerge w:val="restart"/>
                  <w:noWrap w:val="0"/>
                  <w:vAlign w:val="top"/>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全公司综合能耗</w:t>
                  </w:r>
                </w:p>
              </w:tc>
              <w:tc>
                <w:tcPr>
                  <w:tcW w:w="1416"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年综合能耗</w:t>
                  </w:r>
                </w:p>
              </w:tc>
              <w:tc>
                <w:tcPr>
                  <w:tcW w:w="3759"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Kgce</w:t>
                  </w:r>
                </w:p>
              </w:tc>
              <w:tc>
                <w:tcPr>
                  <w:tcW w:w="1450"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产量（t）</w:t>
                  </w:r>
                </w:p>
              </w:tc>
              <w:tc>
                <w:tcPr>
                  <w:tcW w:w="1160"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p>
              </w:tc>
              <w:tc>
                <w:tcPr>
                  <w:tcW w:w="1655" w:type="dxa"/>
                  <w:vMerge w:val="continue"/>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p>
              </w:tc>
              <w:tc>
                <w:tcPr>
                  <w:tcW w:w="1416"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单位产品综合能耗</w:t>
                  </w:r>
                </w:p>
              </w:tc>
              <w:tc>
                <w:tcPr>
                  <w:tcW w:w="3759" w:type="dxa"/>
                  <w:noWrap w:val="0"/>
                  <w:vAlign w:val="top"/>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Kgce/t</w:t>
                  </w:r>
                </w:p>
              </w:tc>
              <w:tc>
                <w:tcPr>
                  <w:tcW w:w="1450"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p>
              </w:tc>
              <w:tc>
                <w:tcPr>
                  <w:tcW w:w="1160"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p>
              </w:tc>
              <w:tc>
                <w:tcPr>
                  <w:tcW w:w="1655" w:type="dxa"/>
                  <w:vMerge w:val="continue"/>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p>
              </w:tc>
              <w:tc>
                <w:tcPr>
                  <w:tcW w:w="1416"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万元产值综合能耗</w:t>
                  </w:r>
                </w:p>
              </w:tc>
              <w:tc>
                <w:tcPr>
                  <w:tcW w:w="3759"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Kgce/（10k.￥）</w:t>
                  </w:r>
                </w:p>
              </w:tc>
              <w:tc>
                <w:tcPr>
                  <w:tcW w:w="1450"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p>
              </w:tc>
              <w:tc>
                <w:tcPr>
                  <w:tcW w:w="1160"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车间级</w:t>
                  </w:r>
                </w:p>
              </w:tc>
              <w:tc>
                <w:tcPr>
                  <w:tcW w:w="1655" w:type="dxa"/>
                  <w:noWrap w:val="0"/>
                  <w:vAlign w:val="top"/>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钢铸件生产线</w:t>
                  </w:r>
                </w:p>
              </w:tc>
              <w:tc>
                <w:tcPr>
                  <w:tcW w:w="1416"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月综合能耗</w:t>
                  </w:r>
                </w:p>
              </w:tc>
              <w:tc>
                <w:tcPr>
                  <w:tcW w:w="3759"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Kgce</w:t>
                  </w:r>
                </w:p>
              </w:tc>
              <w:tc>
                <w:tcPr>
                  <w:tcW w:w="1450"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产量（m³）</w:t>
                  </w:r>
                </w:p>
              </w:tc>
              <w:tc>
                <w:tcPr>
                  <w:tcW w:w="1160"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restart"/>
                  <w:noWrap w:val="0"/>
                  <w:vAlign w:val="top"/>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设备级</w:t>
                  </w:r>
                </w:p>
              </w:tc>
              <w:tc>
                <w:tcPr>
                  <w:tcW w:w="1655" w:type="dxa"/>
                  <w:noWrap w:val="0"/>
                  <w:vAlign w:val="top"/>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大型电机（≧30kW）</w:t>
                  </w:r>
                </w:p>
              </w:tc>
              <w:tc>
                <w:tcPr>
                  <w:tcW w:w="1416" w:type="dxa"/>
                  <w:noWrap w:val="0"/>
                  <w:vAlign w:val="top"/>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功耗</w:t>
                  </w:r>
                </w:p>
              </w:tc>
              <w:tc>
                <w:tcPr>
                  <w:tcW w:w="3759" w:type="dxa"/>
                  <w:noWrap w:val="0"/>
                  <w:vAlign w:val="top"/>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kW</w:t>
                  </w:r>
                </w:p>
              </w:tc>
              <w:tc>
                <w:tcPr>
                  <w:tcW w:w="1450" w:type="dxa"/>
                  <w:noWrap w:val="0"/>
                  <w:vAlign w:val="top"/>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开机时间（h）</w:t>
                  </w:r>
                </w:p>
              </w:tc>
              <w:tc>
                <w:tcPr>
                  <w:tcW w:w="1160" w:type="dxa"/>
                  <w:noWrap w:val="0"/>
                  <w:vAlign w:val="top"/>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p>
              </w:tc>
              <w:tc>
                <w:tcPr>
                  <w:tcW w:w="1655" w:type="dxa"/>
                  <w:vMerge w:val="restart"/>
                  <w:noWrap w:val="0"/>
                  <w:vAlign w:val="top"/>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输变电系统（变压器、配电柜等）</w:t>
                  </w:r>
                </w:p>
              </w:tc>
              <w:tc>
                <w:tcPr>
                  <w:tcW w:w="1416" w:type="dxa"/>
                  <w:vMerge w:val="restart"/>
                  <w:noWrap w:val="0"/>
                  <w:vAlign w:val="top"/>
                </w:tcPr>
                <w:p>
                  <w:pPr>
                    <w:pStyle w:val="2"/>
                    <w:ind w:left="0" w:leftChars="0" w:firstLine="0" w:firstLineChars="0"/>
                    <w:rPr>
                      <w:rFonts w:hint="default" w:ascii="宋体" w:hAnsi="宋体" w:eastAsia="宋体" w:cs="Times New Roman"/>
                      <w:kern w:val="2"/>
                      <w:sz w:val="21"/>
                      <w:szCs w:val="21"/>
                      <w:lang w:val="en-US" w:eastAsia="zh-CN" w:bidi="ar-SA"/>
                    </w:rPr>
                  </w:pPr>
                </w:p>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变压器能效</w:t>
                  </w:r>
                </w:p>
              </w:tc>
              <w:tc>
                <w:tcPr>
                  <w:tcW w:w="3759" w:type="dxa"/>
                  <w:noWrap w:val="0"/>
                  <w:vAlign w:val="top"/>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变压器负载系数（38~75%/GB/T13462-2008）</w:t>
                  </w:r>
                </w:p>
              </w:tc>
              <w:tc>
                <w:tcPr>
                  <w:tcW w:w="1450" w:type="dxa"/>
                  <w:noWrap w:val="0"/>
                  <w:vAlign w:val="top"/>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p>
              </w:tc>
              <w:tc>
                <w:tcPr>
                  <w:tcW w:w="1160"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p>
              </w:tc>
              <w:tc>
                <w:tcPr>
                  <w:tcW w:w="1655" w:type="dxa"/>
                  <w:vMerge w:val="continue"/>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p>
              </w:tc>
              <w:tc>
                <w:tcPr>
                  <w:tcW w:w="1416" w:type="dxa"/>
                  <w:vMerge w:val="continue"/>
                  <w:noWrap w:val="0"/>
                  <w:vAlign w:val="top"/>
                </w:tcPr>
                <w:p>
                  <w:pPr>
                    <w:pStyle w:val="2"/>
                    <w:ind w:left="0" w:leftChars="0" w:firstLine="0" w:firstLineChars="0"/>
                    <w:rPr>
                      <w:rFonts w:hint="default" w:ascii="宋体" w:hAnsi="宋体" w:eastAsia="宋体" w:cs="Times New Roman"/>
                      <w:kern w:val="2"/>
                      <w:sz w:val="21"/>
                      <w:szCs w:val="21"/>
                      <w:lang w:val="en-US" w:eastAsia="zh-CN" w:bidi="ar-SA"/>
                    </w:rPr>
                  </w:pPr>
                </w:p>
              </w:tc>
              <w:tc>
                <w:tcPr>
                  <w:tcW w:w="3759"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功率因数</w:t>
                  </w:r>
                </w:p>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（感性0.90~0.99/GB/T17774-1996）</w:t>
                  </w:r>
                </w:p>
              </w:tc>
              <w:tc>
                <w:tcPr>
                  <w:tcW w:w="1450"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p>
              </w:tc>
              <w:tc>
                <w:tcPr>
                  <w:tcW w:w="1160"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p>
              </w:tc>
            </w:tr>
          </w:tbl>
          <w:p>
            <w:pPr>
              <w:pStyle w:val="2"/>
              <w:ind w:left="0" w:leftChars="0" w:firstLine="0" w:firstLineChars="0"/>
              <w:rPr>
                <w:rFonts w:hint="eastAsia" w:ascii="宋体" w:hAnsi="宋体" w:eastAsia="宋体" w:cs="Times New Roman"/>
                <w:kern w:val="2"/>
                <w:sz w:val="21"/>
                <w:szCs w:val="21"/>
                <w:lang w:val="en-US" w:eastAsia="zh-CN" w:bidi="ar-SA"/>
              </w:rPr>
            </w:pPr>
          </w:p>
          <w:p>
            <w:pPr>
              <w:pStyle w:val="2"/>
              <w:ind w:left="0" w:leftChars="0" w:firstLine="0" w:firstLineChars="0"/>
              <w:rPr>
                <w:rFonts w:hint="eastAsia" w:ascii="宋体" w:hAnsi="宋体" w:eastAsia="宋体" w:cs="Times New Roman"/>
                <w:kern w:val="2"/>
                <w:sz w:val="21"/>
                <w:szCs w:val="21"/>
                <w:lang w:val="en-US" w:eastAsia="zh-CN" w:bidi="ar-SA"/>
              </w:rPr>
            </w:pPr>
          </w:p>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能源基准：</w:t>
            </w:r>
          </w:p>
          <w:tbl>
            <w:tblPr>
              <w:tblStyle w:val="11"/>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3495"/>
              <w:gridCol w:w="2475"/>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序号</w:t>
                  </w:r>
                </w:p>
              </w:tc>
              <w:tc>
                <w:tcPr>
                  <w:tcW w:w="5970" w:type="dxa"/>
                  <w:gridSpan w:val="2"/>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能源基准</w:t>
                  </w:r>
                </w:p>
              </w:tc>
              <w:tc>
                <w:tcPr>
                  <w:tcW w:w="2158"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p>
              </w:tc>
              <w:tc>
                <w:tcPr>
                  <w:tcW w:w="3495"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单位产品综合能耗</w:t>
                  </w:r>
                </w:p>
              </w:tc>
              <w:tc>
                <w:tcPr>
                  <w:tcW w:w="2475" w:type="dxa"/>
                  <w:noWrap w:val="0"/>
                  <w:vAlign w:val="center"/>
                </w:tcPr>
                <w:p>
                  <w:pPr>
                    <w:pStyle w:val="2"/>
                    <w:ind w:left="0" w:leftChars="0" w:firstLine="840" w:firstLineChars="40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532</w:t>
                  </w:r>
                </w:p>
              </w:tc>
              <w:tc>
                <w:tcPr>
                  <w:tcW w:w="2158"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Kgce/t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top"/>
                </w:tcPr>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p>
              </w:tc>
              <w:tc>
                <w:tcPr>
                  <w:tcW w:w="3495" w:type="dxa"/>
                  <w:noWrap w:val="0"/>
                  <w:vAlign w:val="top"/>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单位产值综合能耗</w:t>
                  </w:r>
                </w:p>
              </w:tc>
              <w:tc>
                <w:tcPr>
                  <w:tcW w:w="2475" w:type="dxa"/>
                  <w:noWrap w:val="0"/>
                  <w:vAlign w:val="center"/>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 </w:t>
                  </w:r>
                  <w:r>
                    <w:rPr>
                      <w:rFonts w:hint="eastAsia" w:ascii="宋体" w:hAnsi="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413.74</w:t>
                  </w:r>
                </w:p>
              </w:tc>
              <w:tc>
                <w:tcPr>
                  <w:tcW w:w="2158" w:type="dxa"/>
                  <w:noWrap w:val="0"/>
                  <w:vAlign w:val="top"/>
                </w:tcPr>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kgce/(10k.￥）</w:t>
                  </w:r>
                </w:p>
              </w:tc>
            </w:tr>
          </w:tbl>
          <w:p>
            <w:pPr>
              <w:pStyle w:val="2"/>
              <w:ind w:left="0" w:leftChars="0" w:firstLine="0" w:firstLineChars="0"/>
              <w:rPr>
                <w:rFonts w:hint="default" w:ascii="宋体" w:hAnsi="宋体" w:eastAsia="宋体" w:cs="Times New Roman"/>
                <w:kern w:val="2"/>
                <w:sz w:val="21"/>
                <w:szCs w:val="21"/>
                <w:lang w:val="en-US" w:eastAsia="zh-CN" w:bidi="ar-SA"/>
              </w:rPr>
            </w:pPr>
          </w:p>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改进机会识别：</w:t>
            </w:r>
          </w:p>
          <w:p>
            <w:pPr>
              <w:pStyle w:val="2"/>
              <w:ind w:left="0" w:leftChars="0" w:firstLine="0" w:firstLineChars="0"/>
              <w:rPr>
                <w:rFonts w:hint="eastAsia"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1</w:t>
            </w:r>
            <w:r>
              <w:rPr>
                <w:rFonts w:hint="default" w:ascii="宋体" w:hAnsi="宋体" w:eastAsia="宋体" w:cs="Times New Roman"/>
                <w:kern w:val="2"/>
                <w:sz w:val="21"/>
                <w:szCs w:val="21"/>
                <w:lang w:val="en-US" w:eastAsia="zh-CN" w:bidi="ar-SA"/>
              </w:rPr>
              <w:t>）变频技术改造</w:t>
            </w:r>
            <w:r>
              <w:rPr>
                <w:rFonts w:hint="eastAsia" w:ascii="宋体" w:hAnsi="宋体" w:eastAsia="宋体" w:cs="Times New Roman"/>
                <w:kern w:val="2"/>
                <w:sz w:val="21"/>
                <w:szCs w:val="21"/>
                <w:lang w:val="en-US" w:eastAsia="zh-CN" w:bidi="ar-SA"/>
              </w:rPr>
              <w:t>；</w:t>
            </w:r>
          </w:p>
          <w:p>
            <w:pPr>
              <w:pStyle w:val="2"/>
              <w:ind w:left="0" w:leftChars="0" w:firstLine="0" w:firstLineChars="0"/>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变频调速技术以其显著的节电效果、优良的调速性能以及广泛的适用性、系统的安全可靠性和延长设备使用寿命等优点而成为现代电力传动技术的一个主要发展方向。原无变频电机采用直接启动，电流对设备的冲击很大，不能完全保证安全运行，增加了设备维护量，而且造成了电量的损失。通过变频调速技术可以将日常生产用的确定电压、频率的交流电，经变换器变换为可改变频率和电压的交流电，从而调整电机的转速，对电能的消耗将大大降低。</w:t>
            </w:r>
          </w:p>
          <w:p>
            <w:pPr>
              <w:pStyle w:val="2"/>
              <w:ind w:left="0" w:leftChars="0" w:firstLine="0" w:firstLineChars="0"/>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在实际生产中，为了追求设备作业率，加上设备质量、操作等方面的原因，往往人为地把电机功率增大，造成“大马拉小车”现象，使电机无功功率升高，浪费了电能。故应用三相异步电机无功就地补偿技术或移相节电技术，提高系统功率因数，减少无功功率，节约电能。</w:t>
            </w:r>
          </w:p>
          <w:p>
            <w:pPr>
              <w:pStyle w:val="2"/>
              <w:ind w:left="0" w:leftChars="0" w:firstLine="0" w:firstLineChars="0"/>
              <w:rPr>
                <w:rFonts w:hint="eastAsia"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2</w:t>
            </w:r>
            <w:r>
              <w:rPr>
                <w:rFonts w:hint="default"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变压器选用新型节能产品，减少变压器的损耗，节约电费；</w:t>
            </w:r>
          </w:p>
          <w:p>
            <w:pPr>
              <w:pStyle w:val="2"/>
              <w:ind w:left="0" w:leftChars="0" w:firstLine="0" w:firstLineChars="0"/>
              <w:rPr>
                <w:rFonts w:hint="eastAsia"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3</w:t>
            </w:r>
            <w:r>
              <w:rPr>
                <w:rFonts w:hint="default"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电机采用功率因数高的产品，降低正常运行中的自身损耗，从根本上避免了能源的浪费；</w:t>
            </w:r>
          </w:p>
          <w:p>
            <w:pPr>
              <w:pStyle w:val="2"/>
              <w:ind w:left="0" w:leftChars="0" w:firstLine="0" w:firstLineChars="0"/>
              <w:rPr>
                <w:rFonts w:hint="eastAsia"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4</w:t>
            </w:r>
            <w:r>
              <w:rPr>
                <w:rFonts w:hint="default"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高压真空断路器选用弹簧储能的操作结构，合跳闸电流小，所需的直流电源容量小，自身损耗低；</w:t>
            </w:r>
          </w:p>
          <w:p>
            <w:pPr>
              <w:pStyle w:val="2"/>
              <w:ind w:left="0" w:leftChars="0" w:firstLine="0" w:firstLineChars="0"/>
              <w:rPr>
                <w:rFonts w:hint="eastAsia"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5</w:t>
            </w:r>
            <w:r>
              <w:rPr>
                <w:rFonts w:hint="default"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变压器在电源侧装置有功电度表，无功电度表和功率因数表，并配置相应的动态无功补偿装置。检测并记录电压、电流、功率、功率因数、有功电量、无功电量等。在低负荷时，调整无功补偿设备的容量，防止过补偿；</w:t>
            </w:r>
          </w:p>
          <w:p>
            <w:pPr>
              <w:pStyle w:val="2"/>
              <w:ind w:left="0" w:leftChars="0" w:firstLine="0" w:firstLineChars="0"/>
              <w:rPr>
                <w:rFonts w:hint="eastAsia"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6</w:t>
            </w:r>
            <w:r>
              <w:rPr>
                <w:rFonts w:hint="default"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在各车间入口设水计量装置对水量进行指标分解，从而达到节水目的；</w:t>
            </w:r>
          </w:p>
          <w:p>
            <w:pPr>
              <w:pStyle w:val="2"/>
              <w:ind w:left="0" w:leftChars="0" w:firstLine="0" w:firstLineChars="0"/>
              <w:rPr>
                <w:rFonts w:hint="eastAsia"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7</w:t>
            </w:r>
            <w:r>
              <w:rPr>
                <w:rFonts w:hint="default"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采用先进、合理的保温设计，降低系统的热量损失。</w:t>
            </w:r>
          </w:p>
          <w:p>
            <w:pPr>
              <w:pStyle w:val="2"/>
              <w:ind w:left="0" w:leftChars="0" w:firstLine="0" w:firstLineChars="0"/>
              <w:rPr>
                <w:rFonts w:hint="eastAsia" w:ascii="宋体" w:hAnsi="宋体" w:eastAsia="宋体" w:cs="Times New Roman"/>
                <w:kern w:val="2"/>
                <w:sz w:val="21"/>
                <w:szCs w:val="21"/>
                <w:lang w:val="en-US" w:eastAsia="zh-CN" w:bidi="ar-SA"/>
              </w:rPr>
            </w:pPr>
          </w:p>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评审结论</w:t>
            </w:r>
          </w:p>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根据能源评审工作，公司能源评审组一致认为： </w:t>
            </w:r>
          </w:p>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1、公司目前的能源管理现状基本能够满足国家、地方及行业方面法律法规及其他要求；</w:t>
            </w:r>
          </w:p>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2、公司的单位产品能源消耗与国家标准，优于标准的先进水平。</w:t>
            </w:r>
          </w:p>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3、2019年以来随着公司产量不断扩大，增加了一定的设备投入，因此基准调整至2020年的水平上。</w:t>
            </w:r>
          </w:p>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进一步对2019年~2020年以来的不符合数据进行调查研究找到科学合理的节能措施。</w:t>
            </w:r>
          </w:p>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公司应进一步加强能源管理工作，进一步完善有关能源管理的文件制度。</w:t>
            </w:r>
          </w:p>
          <w:p>
            <w:pPr>
              <w:pStyle w:val="2"/>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4</w:t>
            </w:r>
            <w:r>
              <w:rPr>
                <w:rFonts w:hint="eastAsia" w:ascii="宋体" w:hAnsi="宋体" w:eastAsia="宋体" w:cs="Times New Roman"/>
                <w:kern w:val="2"/>
                <w:sz w:val="21"/>
                <w:szCs w:val="21"/>
                <w:lang w:val="en-US" w:eastAsia="zh-CN" w:bidi="ar-SA"/>
              </w:rPr>
              <w:t>、继续明确职责，确保能源管理体系的有效建立和运行。</w:t>
            </w:r>
          </w:p>
        </w:tc>
        <w:tc>
          <w:tcPr>
            <w:tcW w:w="722" w:type="dxa"/>
          </w:tcPr>
          <w:p>
            <w:pPr>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60" w:type="dxa"/>
          </w:tcPr>
          <w:p>
            <w:pPr>
              <w:rPr>
                <w:rFonts w:ascii="宋体"/>
                <w:szCs w:val="21"/>
              </w:rPr>
            </w:pPr>
            <w:r>
              <w:rPr>
                <w:rFonts w:hint="eastAsia" w:ascii="宋体" w:hAnsi="宋体"/>
                <w:szCs w:val="21"/>
              </w:rPr>
              <w:t>采集能源数据的策划、</w:t>
            </w:r>
          </w:p>
        </w:tc>
        <w:tc>
          <w:tcPr>
            <w:tcW w:w="960" w:type="dxa"/>
          </w:tcPr>
          <w:p>
            <w:pPr>
              <w:rPr>
                <w:szCs w:val="21"/>
              </w:rPr>
            </w:pPr>
            <w:r>
              <w:rPr>
                <w:rFonts w:ascii="宋体" w:hAnsi="宋体"/>
                <w:szCs w:val="21"/>
              </w:rPr>
              <w:t xml:space="preserve">6.6 </w:t>
            </w:r>
          </w:p>
        </w:tc>
        <w:tc>
          <w:tcPr>
            <w:tcW w:w="10867" w:type="dxa"/>
          </w:tcPr>
          <w:p>
            <w:r>
              <w:rPr>
                <w:rFonts w:hint="eastAsia"/>
              </w:rPr>
              <w:t>制定《监视、测量与分析控制程序》，确保在计划的时间间隔内确定、测量、监测和分析其影响能源性能的业务的关键特征</w:t>
            </w:r>
            <w:r>
              <w:t>(</w:t>
            </w:r>
            <w:r>
              <w:rPr>
                <w:rFonts w:hint="eastAsia"/>
              </w:rPr>
              <w:t>见组织应定义和实施与其规模、复杂性、资源及其测量和监测设备相适应的能源数据收集计划。计划应指定监测关键特性所需的数据，并说明应以何种方式、以何种频率收集和保留数据。</w:t>
            </w:r>
          </w:p>
          <w:p>
            <w:pPr>
              <w:rPr>
                <w:rFonts w:hint="eastAsia"/>
              </w:rPr>
            </w:pPr>
            <w:r>
              <w:rPr>
                <w:rFonts w:hint="eastAsia"/>
              </w:rPr>
              <w:t>生产部采集能源的数据为：生产每台设备</w:t>
            </w:r>
            <w:r>
              <w:rPr>
                <w:rFonts w:hint="eastAsia"/>
                <w:lang w:val="en-US" w:eastAsia="zh-CN"/>
              </w:rPr>
              <w:t>融化炉、热处理炉的</w:t>
            </w:r>
            <w:r>
              <w:rPr>
                <w:rFonts w:hint="eastAsia"/>
              </w:rPr>
              <w:t>耗能量</w:t>
            </w:r>
            <w:r>
              <w:rPr>
                <w:rFonts w:hint="eastAsia"/>
                <w:lang w:eastAsia="zh-CN"/>
              </w:rPr>
              <w:t>、</w:t>
            </w:r>
            <w:r>
              <w:rPr>
                <w:rFonts w:hint="eastAsia"/>
                <w:lang w:val="en-US" w:eastAsia="zh-CN"/>
              </w:rPr>
              <w:t>天然气流量</w:t>
            </w:r>
            <w:r>
              <w:rPr>
                <w:rFonts w:hint="eastAsia"/>
              </w:rPr>
              <w:t>。</w:t>
            </w:r>
          </w:p>
          <w:p>
            <w:pPr>
              <w:pStyle w:val="4"/>
              <w:ind w:left="0" w:leftChars="0" w:firstLine="0" w:firstLineChars="0"/>
            </w:pPr>
            <w:r>
              <w:rPr>
                <w:rFonts w:hint="eastAsia"/>
                <w:highlight w:val="none"/>
              </w:rPr>
              <w:t xml:space="preserve"> </w:t>
            </w:r>
            <w:r>
              <w:rPr>
                <w:rFonts w:hint="eastAsia" w:ascii="Times New Roman" w:hAnsi="Times New Roman" w:eastAsia="宋体" w:cs="Times New Roman"/>
                <w:b w:val="0"/>
                <w:bCs w:val="0"/>
                <w:kern w:val="2"/>
                <w:sz w:val="21"/>
                <w:szCs w:val="20"/>
                <w:lang w:val="en-US" w:eastAsia="zh-CN" w:bidi="ar-SA"/>
              </w:rPr>
              <w:t xml:space="preserve">电表有谷城县供电公司统一校验，天然气流量表由华润燃气有限公司负责校验。 </w:t>
            </w:r>
          </w:p>
        </w:tc>
        <w:tc>
          <w:tcPr>
            <w:tcW w:w="722" w:type="dxa"/>
          </w:tcPr>
          <w:p>
            <w:pPr>
              <w:rPr>
                <w:szCs w:val="21"/>
              </w:rPr>
            </w:pPr>
          </w:p>
          <w:p>
            <w:pPr>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60" w:type="dxa"/>
          </w:tcPr>
          <w:p>
            <w:pPr>
              <w:rPr>
                <w:rFonts w:hint="eastAsia" w:ascii="宋体" w:hAnsi="宋体" w:eastAsia="宋体"/>
                <w:szCs w:val="21"/>
                <w:lang w:val="en-US" w:eastAsia="zh-CN"/>
              </w:rPr>
            </w:pPr>
            <w:r>
              <w:rPr>
                <w:rFonts w:hint="eastAsia" w:ascii="宋体" w:hAnsi="宋体"/>
                <w:szCs w:val="21"/>
                <w:lang w:val="en-US" w:eastAsia="zh-CN"/>
              </w:rPr>
              <w:t>沟通交流</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7.4</w:t>
            </w:r>
          </w:p>
        </w:tc>
        <w:tc>
          <w:tcPr>
            <w:tcW w:w="10867" w:type="dxa"/>
          </w:tcPr>
          <w:p>
            <w:pPr>
              <w:keepNext w:val="0"/>
              <w:keepLines w:val="0"/>
              <w:pageBreakBefore w:val="0"/>
              <w:widowControl w:val="0"/>
              <w:kinsoku/>
              <w:wordWrap/>
              <w:overflowPunct/>
              <w:topLinePunct w:val="0"/>
              <w:bidi w:val="0"/>
              <w:snapToGrid/>
              <w:spacing w:before="157" w:beforeLines="50" w:line="240" w:lineRule="auto"/>
              <w:ind w:firstLine="420" w:firstLineChars="200"/>
              <w:rPr>
                <w:szCs w:val="21"/>
              </w:rPr>
            </w:pPr>
            <w:r>
              <w:rPr>
                <w:rFonts w:hint="eastAsia"/>
                <w:szCs w:val="21"/>
              </w:rPr>
              <w:t>公司内部沟通的内容：</w:t>
            </w:r>
            <w:r>
              <w:rPr>
                <w:rFonts w:hint="eastAsia"/>
                <w:szCs w:val="21"/>
                <w:lang w:val="en-US" w:eastAsia="zh-CN"/>
              </w:rPr>
              <w:t>能源</w:t>
            </w:r>
            <w:r>
              <w:rPr>
                <w:rFonts w:hint="eastAsia"/>
                <w:szCs w:val="21"/>
              </w:rPr>
              <w:t>管理体系的过程及有效性，包括</w:t>
            </w:r>
            <w:r>
              <w:rPr>
                <w:rFonts w:hint="eastAsia"/>
                <w:szCs w:val="21"/>
                <w:lang w:val="en-US" w:eastAsia="zh-CN"/>
              </w:rPr>
              <w:t>节能</w:t>
            </w:r>
            <w:r>
              <w:rPr>
                <w:rFonts w:hint="eastAsia"/>
                <w:szCs w:val="21"/>
              </w:rPr>
              <w:t>要求、</w:t>
            </w:r>
            <w:r>
              <w:rPr>
                <w:rFonts w:hint="eastAsia"/>
                <w:szCs w:val="21"/>
                <w:lang w:val="en-US" w:eastAsia="zh-CN"/>
              </w:rPr>
              <w:t>能源</w:t>
            </w:r>
            <w:r>
              <w:rPr>
                <w:rFonts w:hint="eastAsia"/>
                <w:szCs w:val="21"/>
              </w:rPr>
              <w:t>目标完成情况的报告、以及实施的有效性的分析、评审报告，过程流程等内容进行全方位沟通，绩效良好，能保障管理体系的有效，过程绩效，</w:t>
            </w:r>
            <w:r>
              <w:rPr>
                <w:rFonts w:hint="eastAsia"/>
                <w:szCs w:val="21"/>
                <w:lang w:val="en-US" w:eastAsia="zh-CN"/>
              </w:rPr>
              <w:t>能源</w:t>
            </w:r>
            <w:r>
              <w:rPr>
                <w:rFonts w:hint="eastAsia"/>
                <w:szCs w:val="21"/>
              </w:rPr>
              <w:t>目标达成的情况。</w:t>
            </w:r>
          </w:p>
          <w:p>
            <w:pPr>
              <w:keepNext w:val="0"/>
              <w:keepLines w:val="0"/>
              <w:pageBreakBefore w:val="0"/>
              <w:widowControl w:val="0"/>
              <w:kinsoku/>
              <w:wordWrap/>
              <w:overflowPunct/>
              <w:topLinePunct w:val="0"/>
              <w:bidi w:val="0"/>
              <w:snapToGrid/>
              <w:spacing w:before="157" w:beforeLines="50" w:line="240" w:lineRule="auto"/>
              <w:ind w:firstLine="420" w:firstLineChars="200"/>
              <w:rPr>
                <w:szCs w:val="21"/>
              </w:rPr>
            </w:pPr>
            <w:r>
              <w:rPr>
                <w:rFonts w:hint="eastAsia"/>
                <w:szCs w:val="21"/>
              </w:rPr>
              <w:t>外部沟通的内容包括：法律法规要求、</w:t>
            </w:r>
            <w:r>
              <w:rPr>
                <w:rFonts w:hint="eastAsia"/>
                <w:szCs w:val="21"/>
                <w:lang w:val="en-US" w:eastAsia="zh-CN"/>
              </w:rPr>
              <w:t>能源主管</w:t>
            </w:r>
            <w:r>
              <w:rPr>
                <w:rFonts w:hint="eastAsia"/>
                <w:szCs w:val="21"/>
              </w:rPr>
              <w:t>部门等主管部门的要求等相关方面关于</w:t>
            </w:r>
            <w:r>
              <w:rPr>
                <w:rFonts w:hint="eastAsia"/>
                <w:szCs w:val="21"/>
                <w:lang w:val="en-US" w:eastAsia="zh-CN"/>
              </w:rPr>
              <w:t>能源</w:t>
            </w:r>
            <w:r>
              <w:rPr>
                <w:rFonts w:hint="eastAsia"/>
                <w:szCs w:val="21"/>
              </w:rPr>
              <w:t>方面信息的交流；</w:t>
            </w:r>
          </w:p>
          <w:p>
            <w:pPr>
              <w:keepNext w:val="0"/>
              <w:keepLines w:val="0"/>
              <w:pageBreakBefore w:val="0"/>
              <w:widowControl w:val="0"/>
              <w:kinsoku/>
              <w:wordWrap/>
              <w:overflowPunct/>
              <w:topLinePunct w:val="0"/>
              <w:bidi w:val="0"/>
              <w:snapToGrid/>
              <w:spacing w:before="157" w:beforeLines="50" w:line="240" w:lineRule="auto"/>
              <w:rPr>
                <w:szCs w:val="21"/>
              </w:rPr>
            </w:pPr>
            <w:r>
              <w:rPr>
                <w:rFonts w:hint="eastAsia"/>
                <w:szCs w:val="21"/>
              </w:rPr>
              <w:t xml:space="preserve"> </w:t>
            </w:r>
            <w:r>
              <w:rPr>
                <w:szCs w:val="21"/>
              </w:rPr>
              <w:t xml:space="preserve"> </w:t>
            </w:r>
            <w:r>
              <w:rPr>
                <w:rFonts w:hint="eastAsia"/>
                <w:szCs w:val="21"/>
              </w:rPr>
              <w:t>公司信息交流的对象：不同岗位、部门，对与</w:t>
            </w:r>
            <w:r>
              <w:rPr>
                <w:rFonts w:hint="eastAsia"/>
                <w:szCs w:val="21"/>
                <w:lang w:val="en-US" w:eastAsia="zh-CN"/>
              </w:rPr>
              <w:t>能源</w:t>
            </w:r>
            <w:r>
              <w:rPr>
                <w:rFonts w:hint="eastAsia"/>
                <w:szCs w:val="21"/>
              </w:rPr>
              <w:t>管理体系有关的各种信息，相互了解，达到全员参与的效果。</w:t>
            </w:r>
          </w:p>
          <w:p>
            <w:pPr>
              <w:rPr>
                <w:rFonts w:hint="eastAsia"/>
                <w:szCs w:val="21"/>
              </w:rPr>
            </w:pPr>
            <w:r>
              <w:rPr>
                <w:rFonts w:hint="eastAsia"/>
                <w:szCs w:val="21"/>
              </w:rPr>
              <w:t xml:space="preserve">  </w:t>
            </w:r>
            <w:r>
              <w:rPr>
                <w:rFonts w:hint="eastAsia" w:ascii="Times New Roman" w:hAnsi="Times New Roman" w:eastAsia="宋体" w:cs="Times New Roman"/>
                <w:color w:val="auto"/>
                <w:kern w:val="2"/>
                <w:sz w:val="21"/>
                <w:szCs w:val="21"/>
                <w:lang w:val="en-US" w:eastAsia="zh-CN" w:bidi="ar-SA"/>
              </w:rPr>
              <w:t>公司信息交流的形式和工具：采用各种会议、培训、微信、文件报告分发、电话、座谈等各种方式。</w:t>
            </w:r>
          </w:p>
        </w:tc>
        <w:tc>
          <w:tcPr>
            <w:tcW w:w="722" w:type="dxa"/>
          </w:tcPr>
          <w:p/>
          <w:p>
            <w:pPr>
              <w:pStyle w:val="4"/>
            </w:pPr>
          </w:p>
          <w:p>
            <w:pPr>
              <w:pStyle w:val="3"/>
              <w:rPr>
                <w:szCs w:val="21"/>
              </w:rPr>
            </w:pPr>
          </w:p>
          <w:p>
            <w:pPr>
              <w:pStyle w:val="3"/>
              <w:rPr>
                <w:rFonts w:hint="default" w:eastAsia="宋体"/>
                <w:szCs w:val="21"/>
                <w:lang w:val="en-US" w:eastAsia="zh-CN"/>
              </w:rPr>
            </w:pPr>
            <w:r>
              <w:rPr>
                <w:rFonts w:hint="eastAsia"/>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szCs w:val="21"/>
              </w:rPr>
            </w:pPr>
            <w:r>
              <w:rPr>
                <w:rFonts w:hint="eastAsia" w:ascii="宋体" w:hAnsi="宋体"/>
                <w:szCs w:val="21"/>
              </w:rPr>
              <w:t>运行的策划和控制、</w:t>
            </w:r>
          </w:p>
        </w:tc>
        <w:tc>
          <w:tcPr>
            <w:tcW w:w="960" w:type="dxa"/>
          </w:tcPr>
          <w:p>
            <w:pPr>
              <w:rPr>
                <w:szCs w:val="21"/>
              </w:rPr>
            </w:pPr>
            <w:r>
              <w:rPr>
                <w:rFonts w:ascii="宋体" w:hAnsi="宋体"/>
                <w:szCs w:val="21"/>
              </w:rPr>
              <w:t xml:space="preserve">8.1 </w:t>
            </w:r>
          </w:p>
        </w:tc>
        <w:tc>
          <w:tcPr>
            <w:tcW w:w="10867" w:type="dxa"/>
          </w:tcPr>
          <w:p>
            <w:pPr>
              <w:rPr>
                <w:rFonts w:hint="eastAsia"/>
              </w:rPr>
            </w:pPr>
            <w:r>
              <w:rPr>
                <w:rFonts w:hint="eastAsia"/>
              </w:rPr>
              <w:t>生产部能耗的策划：制定并执行《运行控制程序》，计划、实施和控制，以满足标准的要求。由:</w:t>
            </w:r>
          </w:p>
          <w:p>
            <w:pPr>
              <w:numPr>
                <w:ilvl w:val="0"/>
                <w:numId w:val="1"/>
              </w:numPr>
              <w:rPr>
                <w:rFonts w:hint="eastAsia"/>
              </w:rPr>
            </w:pPr>
            <w:r>
              <w:rPr>
                <w:rFonts w:hint="eastAsia"/>
              </w:rPr>
              <w:t>制定有关过程的标准，包括设施、设备、系统和能源使用过程的有效操作和维护，如果没有这些过程，可能会导致对预期能源性能的重大偏离;</w:t>
            </w:r>
          </w:p>
          <w:p>
            <w:pPr>
              <w:numPr>
                <w:ilvl w:val="0"/>
                <w:numId w:val="1"/>
              </w:numPr>
              <w:rPr>
                <w:rFonts w:hint="eastAsia"/>
              </w:rPr>
            </w:pPr>
            <w:r>
              <w:rPr>
                <w:rFonts w:hint="eastAsia"/>
              </w:rPr>
              <w:t>b)向在组织控制下工作的相关人员传达;</w:t>
            </w:r>
          </w:p>
          <w:p>
            <w:pPr>
              <w:rPr>
                <w:rFonts w:hint="eastAsia"/>
              </w:rPr>
            </w:pPr>
            <w:r>
              <w:rPr>
                <w:rFonts w:hint="eastAsia"/>
              </w:rPr>
              <w:t>c)按照标准实施对过程的控制，包括按照既定标准操作和维护设施、设备、系统和能源使用过程;</w:t>
            </w:r>
          </w:p>
          <w:p>
            <w:pPr>
              <w:rPr>
                <w:rFonts w:hint="eastAsia"/>
              </w:rPr>
            </w:pPr>
            <w:r>
              <w:rPr>
                <w:rFonts w:hint="eastAsia"/>
              </w:rPr>
              <w:t>d)在必要的范围内保存文件化的信息，以确保过程已按计划进行。</w:t>
            </w:r>
          </w:p>
          <w:p>
            <w:pPr>
              <w:rPr>
                <w:rFonts w:hint="eastAsia"/>
              </w:rPr>
            </w:pPr>
            <w:r>
              <w:rPr>
                <w:rFonts w:hint="eastAsia"/>
              </w:rPr>
              <w:t>控制计划中的变更，并审查意外变更的后果，并在必要时采取行动减轻任何不利影响。</w:t>
            </w:r>
          </w:p>
          <w:p>
            <w:pPr>
              <w:rPr>
                <w:rFonts w:hint="eastAsia"/>
              </w:rPr>
            </w:pPr>
          </w:p>
          <w:p>
            <w:pPr>
              <w:rPr>
                <w:rFonts w:hint="eastAsia"/>
              </w:rPr>
            </w:pPr>
            <w:r>
              <w:rPr>
                <w:rFonts w:hint="eastAsia"/>
              </w:rPr>
              <w:t>能耗控制：</w:t>
            </w:r>
          </w:p>
          <w:p>
            <w:pPr>
              <w:rPr>
                <w:rFonts w:hint="eastAsia"/>
              </w:rPr>
            </w:pPr>
            <w:r>
              <w:rPr>
                <w:rFonts w:hint="eastAsia"/>
              </w:rPr>
              <w:t>一、节电方面</w:t>
            </w:r>
          </w:p>
          <w:p>
            <w:pPr>
              <w:rPr>
                <w:rFonts w:hint="eastAsia"/>
              </w:rPr>
            </w:pPr>
            <w:r>
              <w:rPr>
                <w:rFonts w:hint="eastAsia"/>
              </w:rPr>
              <w:t>1、为了节能降耗，合理的用电避峰，车间制定了《关于生产车间用电避峰的通知》，并于9月10日开始发放实施。建议将运转班中班取消，改上早班和大夜班。这样车间峰期用电从原先的8小时减为3小时。大大降低了用电费用。</w:t>
            </w:r>
          </w:p>
          <w:p>
            <w:pPr>
              <w:rPr>
                <w:rFonts w:hint="eastAsia"/>
              </w:rPr>
            </w:pPr>
            <w:r>
              <w:rPr>
                <w:rFonts w:hint="eastAsia"/>
              </w:rPr>
              <w:t>2、在光线能达到生产要求的情况下禁止开启照明用电，建议更改现有的照明用电</w:t>
            </w:r>
          </w:p>
          <w:p>
            <w:pPr>
              <w:rPr>
                <w:rFonts w:hint="eastAsia"/>
              </w:rPr>
            </w:pPr>
            <w:r>
              <w:rPr>
                <w:rFonts w:hint="eastAsia"/>
              </w:rPr>
              <w:t>控制开关，分开控制。（现有的一个开关控制十几盏灯）</w:t>
            </w:r>
          </w:p>
          <w:p>
            <w:pPr>
              <w:rPr>
                <w:rFonts w:hint="eastAsia"/>
              </w:rPr>
            </w:pPr>
            <w:r>
              <w:rPr>
                <w:rFonts w:hint="eastAsia"/>
              </w:rPr>
              <w:t>2. 冷水机组在水温能达到生产要求的情况下限时开启。</w:t>
            </w:r>
          </w:p>
          <w:p>
            <w:pPr>
              <w:rPr>
                <w:rFonts w:hint="eastAsia"/>
              </w:rPr>
            </w:pPr>
            <w:r>
              <w:rPr>
                <w:rFonts w:hint="eastAsia"/>
              </w:rPr>
              <w:t>3. 办公室用电应与车间用电分开计量，建议增加分表。</w:t>
            </w:r>
          </w:p>
          <w:p>
            <w:pPr>
              <w:rPr>
                <w:rFonts w:hint="eastAsia"/>
              </w:rPr>
            </w:pPr>
            <w:r>
              <w:rPr>
                <w:rFonts w:hint="eastAsia"/>
              </w:rPr>
              <w:t>合理的安排生产，在生产任务不饱和的情况下尽量集中处理在线产品，（特别是退火、浸润、喷涂岗位）。</w:t>
            </w:r>
          </w:p>
          <w:p>
            <w:pPr>
              <w:rPr>
                <w:rFonts w:hint="eastAsia"/>
              </w:rPr>
            </w:pPr>
            <w:r>
              <w:rPr>
                <w:rFonts w:hint="eastAsia"/>
              </w:rPr>
              <w:t>4.车间生产操作人员应减少设备空载运行，加强人员的巡检，杜绝跑、冒、滴、漏的现象发生。</w:t>
            </w:r>
          </w:p>
          <w:p>
            <w:pPr>
              <w:rPr>
                <w:rFonts w:hint="eastAsia"/>
              </w:rPr>
            </w:pPr>
            <w:r>
              <w:rPr>
                <w:rFonts w:hint="eastAsia"/>
              </w:rPr>
              <w:t>二.物料管控方面</w:t>
            </w:r>
          </w:p>
          <w:p>
            <w:pPr>
              <w:rPr>
                <w:rFonts w:hint="eastAsia"/>
              </w:rPr>
            </w:pPr>
            <w:r>
              <w:rPr>
                <w:rFonts w:hint="eastAsia"/>
              </w:rPr>
              <w:t>1.规范车间物料领用流程，所有使用的物料领用由专职人员凭有效领料单领取，对所领用的物资领料人员必须严把质量、价格、数量关。由车间主任负责监督；不符合要求的物料车间坚决不领用。生产车间物资领用，原则上要求采用以旧换新制度（消耗性物资除外），没有旧物，物料管理员 不得发放物资。对当月所领用的物资要分类建立台账，合理控制。</w:t>
            </w:r>
          </w:p>
          <w:p>
            <w:pPr>
              <w:rPr>
                <w:rFonts w:hint="eastAsia"/>
              </w:rPr>
            </w:pPr>
            <w:r>
              <w:rPr>
                <w:rFonts w:hint="eastAsia"/>
              </w:rPr>
              <w:t>2.生产岗位做好所有物料的周转、防护工作，杜绝人为原因造成的浪费。</w:t>
            </w:r>
          </w:p>
          <w:p>
            <w:pPr>
              <w:rPr>
                <w:rFonts w:hint="eastAsia"/>
              </w:rPr>
            </w:pPr>
            <w:r>
              <w:rPr>
                <w:rFonts w:hint="eastAsia"/>
              </w:rPr>
              <w:t>3.生产压制领粉实行工单制度，即领多少粉就要压多少产品，压不到数量的必须找出原因，给出对策。</w:t>
            </w:r>
          </w:p>
          <w:p>
            <w:pPr>
              <w:rPr>
                <w:rFonts w:hint="eastAsia"/>
              </w:rPr>
            </w:pPr>
            <w:r>
              <w:rPr>
                <w:rFonts w:hint="eastAsia"/>
              </w:rPr>
              <w:t>4.模具和机修备件要建立月使用计划和更换记录台账，合理的提前做好预算，减少库存数量，避免资金积压。</w:t>
            </w:r>
          </w:p>
          <w:p>
            <w:pPr>
              <w:rPr>
                <w:rFonts w:hint="eastAsia"/>
              </w:rPr>
            </w:pPr>
            <w:r>
              <w:rPr>
                <w:rFonts w:hint="eastAsia"/>
              </w:rPr>
              <w:t>三.工艺技术改进方面</w:t>
            </w:r>
          </w:p>
          <w:p>
            <w:pPr>
              <w:rPr>
                <w:rFonts w:hint="eastAsia"/>
              </w:rPr>
            </w:pPr>
            <w:r>
              <w:rPr>
                <w:rFonts w:hint="eastAsia"/>
              </w:rPr>
              <w:t>1.提高技术水平，把设备电机改为变频电机，最大程度上减少生产制造成本。</w:t>
            </w:r>
          </w:p>
          <w:p>
            <w:pPr>
              <w:rPr>
                <w:rFonts w:hint="eastAsia"/>
              </w:rPr>
            </w:pPr>
            <w:r>
              <w:rPr>
                <w:rFonts w:hint="eastAsia"/>
              </w:rPr>
              <w:t>四.管理方面</w:t>
            </w:r>
          </w:p>
          <w:p>
            <w:pPr>
              <w:rPr>
                <w:rFonts w:hint="eastAsia"/>
              </w:rPr>
            </w:pPr>
            <w:r>
              <w:rPr>
                <w:rFonts w:hint="eastAsia"/>
              </w:rPr>
              <w:t>1.加强员工的操作技能，加强质量管理工作，提高一次合格率，减少报废品的产生。</w:t>
            </w:r>
          </w:p>
          <w:p>
            <w:pPr>
              <w:rPr>
                <w:rFonts w:hint="eastAsia"/>
              </w:rPr>
            </w:pPr>
            <w:r>
              <w:rPr>
                <w:rFonts w:hint="eastAsia"/>
              </w:rPr>
              <w:t>2.开展班组劳动竞赛，评优创先活动，对在损耗、合格率指标等方面做出突出成绩的班组进行奖励。</w:t>
            </w:r>
          </w:p>
          <w:p>
            <w:pPr>
              <w:rPr>
                <w:rFonts w:hint="eastAsia"/>
              </w:rPr>
            </w:pPr>
            <w:r>
              <w:rPr>
                <w:rFonts w:hint="eastAsia"/>
              </w:rPr>
              <w:t>3.加强生产环节的进程控制，合理组织，优化和缩短生产流程时间。</w:t>
            </w:r>
          </w:p>
          <w:p>
            <w:pPr>
              <w:rPr>
                <w:rFonts w:hint="eastAsia"/>
              </w:rPr>
            </w:pPr>
            <w:r>
              <w:rPr>
                <w:rFonts w:hint="eastAsia"/>
              </w:rPr>
              <w:t>4.不断总结经验，提高产品生产的控制水平，在满足公司技术标准的前提下，科学合理的控制产品压制重量限度，提高产出率。</w:t>
            </w:r>
          </w:p>
          <w:p>
            <w:pPr>
              <w:rPr>
                <w:rFonts w:hint="eastAsia"/>
              </w:rPr>
            </w:pPr>
            <w:r>
              <w:rPr>
                <w:rFonts w:hint="eastAsia"/>
              </w:rPr>
              <w:t>5.提高员工节能降耗意识，不断提高班组员工的操作技能并完善，在操作过程中，发挥主观能动性，及时发现工序中的能耗浪费点，挖掘节能潜力。</w:t>
            </w:r>
          </w:p>
          <w:p>
            <w:pPr>
              <w:rPr>
                <w:rFonts w:hint="eastAsia"/>
              </w:rPr>
            </w:pPr>
            <w:r>
              <w:rPr>
                <w:rFonts w:hint="eastAsia"/>
              </w:rPr>
              <w:t>6.提高班组管理人员的整体素质，让他们清醒的认识到节能降耗对公司发展的重要性.</w:t>
            </w:r>
          </w:p>
          <w:p>
            <w:pPr>
              <w:rPr>
                <w:rFonts w:hint="eastAsia"/>
              </w:rPr>
            </w:pPr>
          </w:p>
          <w:p>
            <w:pPr>
              <w:rPr>
                <w:rFonts w:hint="eastAsia"/>
                <w:lang w:val="en-US" w:eastAsia="zh-CN"/>
              </w:rPr>
            </w:pPr>
            <w:r>
              <w:rPr>
                <w:rFonts w:hint="eastAsia"/>
                <w:lang w:val="en-US" w:eastAsia="zh-CN"/>
              </w:rPr>
              <w:t>查看高耗能设备融化炉和热处理炉的用电控制情况，没有单独安装电度表：</w:t>
            </w:r>
          </w:p>
          <w:tbl>
            <w:tblPr>
              <w:tblStyle w:val="10"/>
              <w:tblpPr w:leftFromText="180" w:rightFromText="180" w:vertAnchor="text" w:horzAnchor="margin" w:tblpY="178"/>
              <w:tblOverlap w:val="never"/>
              <w:tblW w:w="960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08"/>
              <w:gridCol w:w="465"/>
              <w:gridCol w:w="627"/>
              <w:gridCol w:w="627"/>
              <w:gridCol w:w="628"/>
              <w:gridCol w:w="627"/>
              <w:gridCol w:w="627"/>
              <w:gridCol w:w="627"/>
              <w:gridCol w:w="628"/>
              <w:gridCol w:w="627"/>
              <w:gridCol w:w="627"/>
              <w:gridCol w:w="627"/>
              <w:gridCol w:w="628"/>
              <w:gridCol w:w="540"/>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26" w:type="dxa"/>
                  <w:vMerge w:val="restart"/>
                  <w:noWrap w:val="0"/>
                  <w:vAlign w:val="center"/>
                </w:tcPr>
                <w:p>
                  <w:pPr>
                    <w:ind w:left="-105" w:leftChars="-50" w:right="-105" w:rightChars="-50"/>
                    <w:jc w:val="center"/>
                  </w:pPr>
                  <w:r>
                    <w:t>序号</w:t>
                  </w:r>
                </w:p>
              </w:tc>
              <w:tc>
                <w:tcPr>
                  <w:tcW w:w="708" w:type="dxa"/>
                  <w:vMerge w:val="restart"/>
                  <w:noWrap w:val="0"/>
                  <w:vAlign w:val="center"/>
                </w:tcPr>
                <w:p>
                  <w:pPr>
                    <w:ind w:left="-105" w:leftChars="-50" w:right="-105" w:rightChars="-50"/>
                    <w:jc w:val="center"/>
                  </w:pPr>
                  <w:r>
                    <w:t>能源计量类别</w:t>
                  </w:r>
                </w:p>
              </w:tc>
              <w:tc>
                <w:tcPr>
                  <w:tcW w:w="2347" w:type="dxa"/>
                  <w:gridSpan w:val="4"/>
                  <w:noWrap w:val="0"/>
                  <w:vAlign w:val="center"/>
                </w:tcPr>
                <w:p>
                  <w:pPr>
                    <w:ind w:left="-105" w:leftChars="-50" w:right="-105" w:rightChars="-50"/>
                    <w:jc w:val="center"/>
                  </w:pPr>
                  <w:r>
                    <w:t>进出用能单位</w:t>
                  </w:r>
                </w:p>
              </w:tc>
              <w:tc>
                <w:tcPr>
                  <w:tcW w:w="2509" w:type="dxa"/>
                  <w:gridSpan w:val="4"/>
                  <w:noWrap w:val="0"/>
                  <w:vAlign w:val="center"/>
                </w:tcPr>
                <w:p>
                  <w:pPr>
                    <w:ind w:left="-105" w:leftChars="-50" w:right="-105" w:rightChars="-50"/>
                    <w:jc w:val="center"/>
                  </w:pPr>
                  <w:r>
                    <w:t>进出主要次级用能单位</w:t>
                  </w:r>
                </w:p>
              </w:tc>
              <w:tc>
                <w:tcPr>
                  <w:tcW w:w="2509" w:type="dxa"/>
                  <w:gridSpan w:val="4"/>
                  <w:noWrap w:val="0"/>
                  <w:vAlign w:val="center"/>
                </w:tcPr>
                <w:p>
                  <w:pPr>
                    <w:ind w:left="-105" w:leftChars="-50" w:right="-105" w:rightChars="-50"/>
                    <w:jc w:val="center"/>
                  </w:pPr>
                  <w:r>
                    <w:t>主要用能设备</w:t>
                  </w:r>
                </w:p>
              </w:tc>
              <w:tc>
                <w:tcPr>
                  <w:tcW w:w="1107" w:type="dxa"/>
                  <w:gridSpan w:val="2"/>
                  <w:noWrap w:val="0"/>
                  <w:vAlign w:val="center"/>
                </w:tcPr>
                <w:p>
                  <w:pPr>
                    <w:ind w:left="-105" w:leftChars="-50" w:right="-105" w:rightChars="-50"/>
                    <w:jc w:val="center"/>
                  </w:pPr>
                  <w:r>
                    <w:t>综合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6" w:hRule="atLeast"/>
              </w:trPr>
              <w:tc>
                <w:tcPr>
                  <w:tcW w:w="426" w:type="dxa"/>
                  <w:vMerge w:val="continue"/>
                  <w:noWrap w:val="0"/>
                  <w:vAlign w:val="center"/>
                </w:tcPr>
                <w:p>
                  <w:pPr>
                    <w:ind w:left="-105" w:leftChars="-50" w:right="-105" w:rightChars="-50"/>
                    <w:jc w:val="center"/>
                  </w:pPr>
                </w:p>
              </w:tc>
              <w:tc>
                <w:tcPr>
                  <w:tcW w:w="708" w:type="dxa"/>
                  <w:vMerge w:val="continue"/>
                  <w:noWrap w:val="0"/>
                  <w:vAlign w:val="center"/>
                </w:tcPr>
                <w:p>
                  <w:pPr>
                    <w:ind w:left="-105" w:leftChars="-50" w:right="-105" w:rightChars="-50"/>
                    <w:jc w:val="center"/>
                  </w:pPr>
                </w:p>
              </w:tc>
              <w:tc>
                <w:tcPr>
                  <w:tcW w:w="465" w:type="dxa"/>
                  <w:noWrap w:val="0"/>
                  <w:vAlign w:val="center"/>
                </w:tcPr>
                <w:p>
                  <w:pPr>
                    <w:ind w:left="-105" w:leftChars="-50" w:right="-105" w:rightChars="-50"/>
                    <w:jc w:val="center"/>
                  </w:pPr>
                  <w:r>
                    <w:t>应装数</w:t>
                  </w:r>
                </w:p>
              </w:tc>
              <w:tc>
                <w:tcPr>
                  <w:tcW w:w="627" w:type="dxa"/>
                  <w:noWrap w:val="0"/>
                  <w:vAlign w:val="center"/>
                </w:tcPr>
                <w:p>
                  <w:pPr>
                    <w:ind w:left="-105" w:leftChars="-50" w:right="-105" w:rightChars="-50"/>
                    <w:jc w:val="center"/>
                  </w:pPr>
                  <w:r>
                    <w:t>安装数</w:t>
                  </w:r>
                </w:p>
              </w:tc>
              <w:tc>
                <w:tcPr>
                  <w:tcW w:w="627" w:type="dxa"/>
                  <w:noWrap w:val="0"/>
                  <w:vAlign w:val="center"/>
                </w:tcPr>
                <w:p>
                  <w:pPr>
                    <w:ind w:left="-105" w:leftChars="-50" w:right="-105" w:rightChars="-50"/>
                    <w:jc w:val="center"/>
                  </w:pPr>
                  <w:r>
                    <w:t>配备率</w:t>
                  </w:r>
                </w:p>
              </w:tc>
              <w:tc>
                <w:tcPr>
                  <w:tcW w:w="628" w:type="dxa"/>
                  <w:noWrap w:val="0"/>
                  <w:vAlign w:val="center"/>
                </w:tcPr>
                <w:p>
                  <w:pPr>
                    <w:ind w:left="-105" w:leftChars="-50" w:right="-105" w:rightChars="-50"/>
                    <w:jc w:val="center"/>
                  </w:pPr>
                  <w:r>
                    <w:t>完好率</w:t>
                  </w:r>
                </w:p>
              </w:tc>
              <w:tc>
                <w:tcPr>
                  <w:tcW w:w="627" w:type="dxa"/>
                  <w:noWrap w:val="0"/>
                  <w:vAlign w:val="center"/>
                </w:tcPr>
                <w:p>
                  <w:pPr>
                    <w:ind w:left="-105" w:leftChars="-50" w:right="-105" w:rightChars="-50"/>
                    <w:jc w:val="center"/>
                  </w:pPr>
                  <w:r>
                    <w:t>应装数</w:t>
                  </w:r>
                </w:p>
              </w:tc>
              <w:tc>
                <w:tcPr>
                  <w:tcW w:w="627" w:type="dxa"/>
                  <w:noWrap w:val="0"/>
                  <w:vAlign w:val="center"/>
                </w:tcPr>
                <w:p>
                  <w:pPr>
                    <w:ind w:left="-105" w:leftChars="-50" w:right="-105" w:rightChars="-50"/>
                    <w:jc w:val="center"/>
                  </w:pPr>
                  <w:r>
                    <w:t>安装数</w:t>
                  </w:r>
                </w:p>
              </w:tc>
              <w:tc>
                <w:tcPr>
                  <w:tcW w:w="627" w:type="dxa"/>
                  <w:noWrap w:val="0"/>
                  <w:vAlign w:val="center"/>
                </w:tcPr>
                <w:p>
                  <w:pPr>
                    <w:ind w:left="-105" w:leftChars="-50" w:right="-105" w:rightChars="-50"/>
                    <w:jc w:val="center"/>
                  </w:pPr>
                  <w:r>
                    <w:t>配备率</w:t>
                  </w:r>
                </w:p>
              </w:tc>
              <w:tc>
                <w:tcPr>
                  <w:tcW w:w="628" w:type="dxa"/>
                  <w:noWrap w:val="0"/>
                  <w:vAlign w:val="center"/>
                </w:tcPr>
                <w:p>
                  <w:pPr>
                    <w:ind w:left="-105" w:leftChars="-50" w:right="-105" w:rightChars="-50"/>
                    <w:jc w:val="center"/>
                  </w:pPr>
                  <w:r>
                    <w:t>完好率</w:t>
                  </w:r>
                </w:p>
              </w:tc>
              <w:tc>
                <w:tcPr>
                  <w:tcW w:w="627" w:type="dxa"/>
                  <w:noWrap w:val="0"/>
                  <w:vAlign w:val="center"/>
                </w:tcPr>
                <w:p>
                  <w:pPr>
                    <w:ind w:left="-105" w:leftChars="-50" w:right="-105" w:rightChars="-50"/>
                    <w:jc w:val="center"/>
                  </w:pPr>
                  <w:r>
                    <w:t>应装数</w:t>
                  </w:r>
                </w:p>
              </w:tc>
              <w:tc>
                <w:tcPr>
                  <w:tcW w:w="627" w:type="dxa"/>
                  <w:noWrap w:val="0"/>
                  <w:vAlign w:val="center"/>
                </w:tcPr>
                <w:p>
                  <w:pPr>
                    <w:ind w:left="-105" w:leftChars="-50" w:right="-105" w:rightChars="-50"/>
                    <w:jc w:val="center"/>
                  </w:pPr>
                  <w:r>
                    <w:t>安装数</w:t>
                  </w:r>
                </w:p>
              </w:tc>
              <w:tc>
                <w:tcPr>
                  <w:tcW w:w="627" w:type="dxa"/>
                  <w:noWrap w:val="0"/>
                  <w:vAlign w:val="center"/>
                </w:tcPr>
                <w:p>
                  <w:pPr>
                    <w:ind w:left="-105" w:leftChars="-50" w:right="-105" w:rightChars="-50"/>
                    <w:jc w:val="center"/>
                  </w:pPr>
                  <w:r>
                    <w:t>配备率</w:t>
                  </w:r>
                </w:p>
              </w:tc>
              <w:tc>
                <w:tcPr>
                  <w:tcW w:w="628" w:type="dxa"/>
                  <w:noWrap w:val="0"/>
                  <w:vAlign w:val="center"/>
                </w:tcPr>
                <w:p>
                  <w:pPr>
                    <w:ind w:left="-105" w:leftChars="-50" w:right="-105" w:rightChars="-50"/>
                    <w:jc w:val="center"/>
                  </w:pPr>
                  <w:r>
                    <w:t>完好率</w:t>
                  </w:r>
                </w:p>
              </w:tc>
              <w:tc>
                <w:tcPr>
                  <w:tcW w:w="540" w:type="dxa"/>
                  <w:noWrap w:val="0"/>
                  <w:vAlign w:val="center"/>
                </w:tcPr>
                <w:p>
                  <w:pPr>
                    <w:ind w:left="-105" w:leftChars="-50" w:right="-105" w:rightChars="-50"/>
                    <w:jc w:val="center"/>
                  </w:pPr>
                  <w:r>
                    <w:t>配备率</w:t>
                  </w:r>
                </w:p>
              </w:tc>
              <w:tc>
                <w:tcPr>
                  <w:tcW w:w="567" w:type="dxa"/>
                  <w:noWrap w:val="0"/>
                  <w:vAlign w:val="center"/>
                </w:tcPr>
                <w:p>
                  <w:pPr>
                    <w:ind w:left="-105" w:leftChars="-50" w:right="-105" w:rightChars="-50"/>
                    <w:jc w:val="center"/>
                  </w:pPr>
                  <w:r>
                    <w:t>完好率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6" w:hRule="atLeast"/>
              </w:trPr>
              <w:tc>
                <w:tcPr>
                  <w:tcW w:w="426" w:type="dxa"/>
                  <w:vMerge w:val="continue"/>
                  <w:noWrap w:val="0"/>
                  <w:vAlign w:val="center"/>
                </w:tcPr>
                <w:p>
                  <w:pPr>
                    <w:ind w:left="-105" w:leftChars="-50" w:right="-105" w:rightChars="-50"/>
                    <w:jc w:val="center"/>
                  </w:pPr>
                </w:p>
              </w:tc>
              <w:tc>
                <w:tcPr>
                  <w:tcW w:w="708" w:type="dxa"/>
                  <w:vMerge w:val="continue"/>
                  <w:noWrap w:val="0"/>
                  <w:vAlign w:val="center"/>
                </w:tcPr>
                <w:p>
                  <w:pPr>
                    <w:ind w:left="-105" w:leftChars="-50" w:right="-105" w:rightChars="-50"/>
                    <w:jc w:val="center"/>
                  </w:pPr>
                </w:p>
              </w:tc>
              <w:tc>
                <w:tcPr>
                  <w:tcW w:w="465" w:type="dxa"/>
                  <w:noWrap w:val="0"/>
                  <w:vAlign w:val="center"/>
                </w:tcPr>
                <w:p>
                  <w:pPr>
                    <w:ind w:left="-105" w:leftChars="-50" w:right="-105" w:rightChars="-50"/>
                    <w:jc w:val="center"/>
                  </w:pPr>
                  <w:r>
                    <w:t>台</w:t>
                  </w:r>
                </w:p>
              </w:tc>
              <w:tc>
                <w:tcPr>
                  <w:tcW w:w="627" w:type="dxa"/>
                  <w:noWrap w:val="0"/>
                  <w:vAlign w:val="center"/>
                </w:tcPr>
                <w:p>
                  <w:pPr>
                    <w:ind w:left="-105" w:leftChars="-50" w:right="-105" w:rightChars="-50"/>
                    <w:jc w:val="center"/>
                  </w:pPr>
                  <w:r>
                    <w:t>台</w:t>
                  </w:r>
                </w:p>
              </w:tc>
              <w:tc>
                <w:tcPr>
                  <w:tcW w:w="627" w:type="dxa"/>
                  <w:noWrap w:val="0"/>
                  <w:vAlign w:val="center"/>
                </w:tcPr>
                <w:p>
                  <w:pPr>
                    <w:ind w:left="-105" w:leftChars="-50" w:right="-105" w:rightChars="-50"/>
                    <w:jc w:val="center"/>
                  </w:pPr>
                  <w:r>
                    <w:t>％</w:t>
                  </w:r>
                </w:p>
              </w:tc>
              <w:tc>
                <w:tcPr>
                  <w:tcW w:w="628" w:type="dxa"/>
                  <w:noWrap w:val="0"/>
                  <w:vAlign w:val="center"/>
                </w:tcPr>
                <w:p>
                  <w:pPr>
                    <w:ind w:left="-105" w:leftChars="-50" w:right="-105" w:rightChars="-50"/>
                    <w:jc w:val="center"/>
                  </w:pPr>
                  <w:r>
                    <w:t>％</w:t>
                  </w:r>
                </w:p>
              </w:tc>
              <w:tc>
                <w:tcPr>
                  <w:tcW w:w="627" w:type="dxa"/>
                  <w:noWrap w:val="0"/>
                  <w:vAlign w:val="center"/>
                </w:tcPr>
                <w:p>
                  <w:pPr>
                    <w:ind w:left="-105" w:leftChars="-50" w:right="-105" w:rightChars="-50"/>
                    <w:jc w:val="center"/>
                  </w:pPr>
                  <w:r>
                    <w:t>台</w:t>
                  </w:r>
                </w:p>
              </w:tc>
              <w:tc>
                <w:tcPr>
                  <w:tcW w:w="627" w:type="dxa"/>
                  <w:noWrap w:val="0"/>
                  <w:vAlign w:val="center"/>
                </w:tcPr>
                <w:p>
                  <w:pPr>
                    <w:ind w:left="-105" w:leftChars="-50" w:right="-105" w:rightChars="-50"/>
                    <w:jc w:val="center"/>
                  </w:pPr>
                  <w:r>
                    <w:t>台</w:t>
                  </w:r>
                </w:p>
              </w:tc>
              <w:tc>
                <w:tcPr>
                  <w:tcW w:w="627" w:type="dxa"/>
                  <w:noWrap w:val="0"/>
                  <w:vAlign w:val="center"/>
                </w:tcPr>
                <w:p>
                  <w:pPr>
                    <w:ind w:left="-105" w:leftChars="-50" w:right="-105" w:rightChars="-50"/>
                    <w:jc w:val="center"/>
                  </w:pPr>
                  <w:r>
                    <w:t>％</w:t>
                  </w:r>
                </w:p>
              </w:tc>
              <w:tc>
                <w:tcPr>
                  <w:tcW w:w="628" w:type="dxa"/>
                  <w:noWrap w:val="0"/>
                  <w:vAlign w:val="center"/>
                </w:tcPr>
                <w:p>
                  <w:pPr>
                    <w:ind w:left="-105" w:leftChars="-50" w:right="-105" w:rightChars="-50"/>
                    <w:jc w:val="center"/>
                  </w:pPr>
                  <w:r>
                    <w:t>％</w:t>
                  </w:r>
                </w:p>
              </w:tc>
              <w:tc>
                <w:tcPr>
                  <w:tcW w:w="627" w:type="dxa"/>
                  <w:noWrap w:val="0"/>
                  <w:vAlign w:val="center"/>
                </w:tcPr>
                <w:p>
                  <w:pPr>
                    <w:ind w:left="-105" w:leftChars="-50" w:right="-105" w:rightChars="-50"/>
                    <w:jc w:val="center"/>
                  </w:pPr>
                  <w:r>
                    <w:t>台</w:t>
                  </w:r>
                </w:p>
              </w:tc>
              <w:tc>
                <w:tcPr>
                  <w:tcW w:w="627" w:type="dxa"/>
                  <w:noWrap w:val="0"/>
                  <w:vAlign w:val="center"/>
                </w:tcPr>
                <w:p>
                  <w:pPr>
                    <w:ind w:left="-105" w:leftChars="-50" w:right="-105" w:rightChars="-50"/>
                    <w:jc w:val="center"/>
                  </w:pPr>
                  <w:r>
                    <w:t>台</w:t>
                  </w:r>
                </w:p>
              </w:tc>
              <w:tc>
                <w:tcPr>
                  <w:tcW w:w="627" w:type="dxa"/>
                  <w:noWrap w:val="0"/>
                  <w:vAlign w:val="center"/>
                </w:tcPr>
                <w:p>
                  <w:pPr>
                    <w:ind w:left="-105" w:leftChars="-50" w:right="-105" w:rightChars="-50"/>
                    <w:jc w:val="center"/>
                  </w:pPr>
                  <w:r>
                    <w:t>％</w:t>
                  </w:r>
                </w:p>
              </w:tc>
              <w:tc>
                <w:tcPr>
                  <w:tcW w:w="628" w:type="dxa"/>
                  <w:noWrap w:val="0"/>
                  <w:vAlign w:val="center"/>
                </w:tcPr>
                <w:p>
                  <w:pPr>
                    <w:ind w:left="-105" w:leftChars="-50" w:right="-105" w:rightChars="-50"/>
                    <w:jc w:val="center"/>
                  </w:pPr>
                  <w:r>
                    <w:t>％</w:t>
                  </w:r>
                </w:p>
              </w:tc>
              <w:tc>
                <w:tcPr>
                  <w:tcW w:w="540" w:type="dxa"/>
                  <w:noWrap w:val="0"/>
                  <w:vAlign w:val="center"/>
                </w:tcPr>
                <w:p>
                  <w:pPr>
                    <w:ind w:left="-105" w:leftChars="-50" w:right="-105" w:rightChars="-50"/>
                    <w:jc w:val="center"/>
                  </w:pPr>
                  <w:r>
                    <w:t>％</w:t>
                  </w:r>
                </w:p>
              </w:tc>
              <w:tc>
                <w:tcPr>
                  <w:tcW w:w="567" w:type="dxa"/>
                  <w:noWrap w:val="0"/>
                  <w:vAlign w:val="center"/>
                </w:tcPr>
                <w:p>
                  <w:pPr>
                    <w:ind w:left="-105" w:leftChars="-50" w:right="-105" w:rightChars="-50"/>
                    <w:jc w:val="center"/>
                  </w:pPr>
                  <w: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26" w:type="dxa"/>
                  <w:noWrap w:val="0"/>
                  <w:vAlign w:val="center"/>
                </w:tcPr>
                <w:p>
                  <w:pPr>
                    <w:ind w:left="-105" w:leftChars="-50" w:right="-105" w:rightChars="-50"/>
                    <w:jc w:val="center"/>
                  </w:pPr>
                  <w:r>
                    <w:t>1</w:t>
                  </w:r>
                </w:p>
              </w:tc>
              <w:tc>
                <w:tcPr>
                  <w:tcW w:w="708" w:type="dxa"/>
                  <w:noWrap w:val="0"/>
                  <w:vAlign w:val="center"/>
                </w:tcPr>
                <w:p>
                  <w:pPr>
                    <w:ind w:left="-105" w:leftChars="-50" w:right="-105" w:rightChars="-50"/>
                    <w:jc w:val="center"/>
                  </w:pPr>
                  <w:r>
                    <w:t>电</w:t>
                  </w:r>
                </w:p>
              </w:tc>
              <w:tc>
                <w:tcPr>
                  <w:tcW w:w="465" w:type="dxa"/>
                  <w:noWrap w:val="0"/>
                  <w:vAlign w:val="center"/>
                </w:tcPr>
                <w:p>
                  <w:pPr>
                    <w:widowControl/>
                    <w:jc w:val="center"/>
                    <w:rPr>
                      <w:rFonts w:hint="eastAsia"/>
                      <w:lang w:eastAsia="zh-CN"/>
                    </w:rPr>
                  </w:pPr>
                  <w:r>
                    <w:rPr>
                      <w:rFonts w:hint="eastAsia"/>
                      <w:lang w:val="en-US" w:eastAsia="zh-CN"/>
                    </w:rPr>
                    <w:t>1</w:t>
                  </w:r>
                </w:p>
              </w:tc>
              <w:tc>
                <w:tcPr>
                  <w:tcW w:w="627" w:type="dxa"/>
                  <w:noWrap w:val="0"/>
                  <w:vAlign w:val="center"/>
                </w:tcPr>
                <w:p>
                  <w:pPr>
                    <w:widowControl/>
                    <w:jc w:val="center"/>
                    <w:rPr>
                      <w:rFonts w:hint="eastAsia"/>
                      <w:lang w:eastAsia="zh-CN"/>
                    </w:rPr>
                  </w:pPr>
                  <w:r>
                    <w:rPr>
                      <w:rFonts w:hint="eastAsia"/>
                      <w:lang w:val="en-US" w:eastAsia="zh-CN"/>
                    </w:rPr>
                    <w:t>1</w:t>
                  </w:r>
                </w:p>
              </w:tc>
              <w:tc>
                <w:tcPr>
                  <w:tcW w:w="627" w:type="dxa"/>
                  <w:noWrap w:val="0"/>
                  <w:vAlign w:val="center"/>
                </w:tcPr>
                <w:p>
                  <w:pPr>
                    <w:widowControl/>
                    <w:jc w:val="center"/>
                  </w:pPr>
                  <w:r>
                    <w:t>100</w:t>
                  </w:r>
                </w:p>
              </w:tc>
              <w:tc>
                <w:tcPr>
                  <w:tcW w:w="628" w:type="dxa"/>
                  <w:noWrap w:val="0"/>
                  <w:vAlign w:val="center"/>
                </w:tcPr>
                <w:p>
                  <w:pPr>
                    <w:widowControl/>
                    <w:jc w:val="center"/>
                  </w:pPr>
                  <w:r>
                    <w:t>100</w:t>
                  </w:r>
                </w:p>
              </w:tc>
              <w:tc>
                <w:tcPr>
                  <w:tcW w:w="627" w:type="dxa"/>
                  <w:noWrap w:val="0"/>
                  <w:vAlign w:val="center"/>
                </w:tcPr>
                <w:p>
                  <w:pPr>
                    <w:widowControl/>
                    <w:jc w:val="center"/>
                    <w:rPr>
                      <w:rFonts w:hint="default"/>
                      <w:lang w:val="en-US" w:eastAsia="zh-CN"/>
                    </w:rPr>
                  </w:pPr>
                  <w:r>
                    <w:rPr>
                      <w:rFonts w:hint="eastAsia"/>
                      <w:lang w:val="en-US" w:eastAsia="zh-CN"/>
                    </w:rPr>
                    <w:t xml:space="preserve"> 8</w:t>
                  </w:r>
                </w:p>
              </w:tc>
              <w:tc>
                <w:tcPr>
                  <w:tcW w:w="627" w:type="dxa"/>
                  <w:noWrap w:val="0"/>
                  <w:vAlign w:val="center"/>
                </w:tcPr>
                <w:p>
                  <w:pPr>
                    <w:widowControl/>
                    <w:jc w:val="center"/>
                    <w:rPr>
                      <w:rFonts w:hint="eastAsia"/>
                      <w:lang w:val="en-US" w:eastAsia="zh-CN"/>
                    </w:rPr>
                  </w:pPr>
                  <w:r>
                    <w:rPr>
                      <w:rFonts w:hint="eastAsia"/>
                      <w:lang w:val="en-US" w:eastAsia="zh-CN"/>
                    </w:rPr>
                    <w:t>8</w:t>
                  </w:r>
                </w:p>
              </w:tc>
              <w:tc>
                <w:tcPr>
                  <w:tcW w:w="627" w:type="dxa"/>
                  <w:noWrap w:val="0"/>
                  <w:vAlign w:val="center"/>
                </w:tcPr>
                <w:p>
                  <w:pPr>
                    <w:widowControl/>
                    <w:jc w:val="center"/>
                    <w:rPr>
                      <w:rFonts w:hint="default"/>
                      <w:lang w:val="en-US"/>
                    </w:rPr>
                  </w:pPr>
                  <w:r>
                    <w:rPr>
                      <w:rFonts w:hint="eastAsia"/>
                    </w:rPr>
                    <w:t>100</w:t>
                  </w:r>
                </w:p>
              </w:tc>
              <w:tc>
                <w:tcPr>
                  <w:tcW w:w="628" w:type="dxa"/>
                  <w:noWrap w:val="0"/>
                  <w:vAlign w:val="center"/>
                </w:tcPr>
                <w:p>
                  <w:pPr>
                    <w:widowControl/>
                    <w:jc w:val="center"/>
                    <w:rPr>
                      <w:rFonts w:hint="default"/>
                      <w:lang w:val="en-US"/>
                    </w:rPr>
                  </w:pPr>
                  <w:r>
                    <w:rPr>
                      <w:rFonts w:hint="eastAsia"/>
                    </w:rPr>
                    <w:t>100</w:t>
                  </w:r>
                </w:p>
              </w:tc>
              <w:tc>
                <w:tcPr>
                  <w:tcW w:w="627" w:type="dxa"/>
                  <w:noWrap w:val="0"/>
                  <w:vAlign w:val="center"/>
                </w:tcPr>
                <w:p>
                  <w:pPr>
                    <w:widowControl/>
                    <w:jc w:val="center"/>
                    <w:rPr>
                      <w:rFonts w:hint="eastAsia"/>
                      <w:lang w:val="en-US" w:eastAsia="zh-CN"/>
                    </w:rPr>
                  </w:pPr>
                  <w:r>
                    <w:rPr>
                      <w:rFonts w:hint="eastAsia"/>
                      <w:lang w:val="en-US" w:eastAsia="zh-CN"/>
                    </w:rPr>
                    <w:t>4</w:t>
                  </w:r>
                </w:p>
              </w:tc>
              <w:tc>
                <w:tcPr>
                  <w:tcW w:w="627" w:type="dxa"/>
                  <w:noWrap w:val="0"/>
                  <w:vAlign w:val="center"/>
                </w:tcPr>
                <w:p>
                  <w:pPr>
                    <w:widowControl/>
                    <w:jc w:val="center"/>
                    <w:rPr>
                      <w:rFonts w:hint="eastAsia"/>
                      <w:lang w:val="en-US" w:eastAsia="zh-CN"/>
                    </w:rPr>
                  </w:pPr>
                  <w:r>
                    <w:rPr>
                      <w:rFonts w:hint="eastAsia"/>
                      <w:lang w:val="en-US" w:eastAsia="zh-CN"/>
                    </w:rPr>
                    <w:t>4</w:t>
                  </w:r>
                </w:p>
              </w:tc>
              <w:tc>
                <w:tcPr>
                  <w:tcW w:w="627" w:type="dxa"/>
                  <w:noWrap w:val="0"/>
                  <w:vAlign w:val="center"/>
                </w:tcPr>
                <w:p>
                  <w:pPr>
                    <w:widowControl/>
                    <w:ind w:left="-105" w:leftChars="-50" w:right="-105" w:rightChars="-50"/>
                    <w:jc w:val="center"/>
                    <w:rPr>
                      <w:rFonts w:hint="default"/>
                      <w:lang w:val="en-US"/>
                    </w:rPr>
                  </w:pPr>
                  <w:r>
                    <w:rPr>
                      <w:rFonts w:hint="eastAsia"/>
                    </w:rPr>
                    <w:t>100</w:t>
                  </w:r>
                </w:p>
              </w:tc>
              <w:tc>
                <w:tcPr>
                  <w:tcW w:w="628" w:type="dxa"/>
                  <w:noWrap w:val="0"/>
                  <w:vAlign w:val="center"/>
                </w:tcPr>
                <w:p>
                  <w:pPr>
                    <w:widowControl/>
                    <w:ind w:left="-105" w:leftChars="-50" w:right="-105" w:rightChars="-50"/>
                    <w:jc w:val="center"/>
                    <w:rPr>
                      <w:rFonts w:hint="default"/>
                      <w:lang w:val="en-US"/>
                    </w:rPr>
                  </w:pPr>
                  <w:r>
                    <w:rPr>
                      <w:rFonts w:hint="eastAsia"/>
                    </w:rPr>
                    <w:t>100</w:t>
                  </w:r>
                </w:p>
              </w:tc>
              <w:tc>
                <w:tcPr>
                  <w:tcW w:w="540" w:type="dxa"/>
                  <w:noWrap w:val="0"/>
                  <w:vAlign w:val="center"/>
                </w:tcPr>
                <w:p>
                  <w:pPr>
                    <w:widowControl/>
                    <w:ind w:left="-105" w:leftChars="-50" w:right="-105" w:rightChars="-50"/>
                    <w:jc w:val="center"/>
                  </w:pPr>
                  <w:r>
                    <w:rPr>
                      <w:rFonts w:hint="eastAsia"/>
                    </w:rPr>
                    <w:t>100</w:t>
                  </w:r>
                </w:p>
              </w:tc>
              <w:tc>
                <w:tcPr>
                  <w:tcW w:w="567" w:type="dxa"/>
                  <w:noWrap w:val="0"/>
                  <w:vAlign w:val="center"/>
                </w:tcPr>
                <w:p>
                  <w:pPr>
                    <w:widowControl/>
                    <w:ind w:left="-105" w:leftChars="-50" w:right="-105" w:rightChars="-50"/>
                    <w:jc w:val="center"/>
                  </w:pPr>
                  <w:r>
                    <w:rPr>
                      <w:rFonts w:hint="eastAsia"/>
                    </w:rPr>
                    <w:t>100</w:t>
                  </w:r>
                </w:p>
              </w:tc>
            </w:tr>
          </w:tbl>
          <w:p>
            <w:pPr>
              <w:pStyle w:val="2"/>
              <w:rPr>
                <w:rFonts w:hint="eastAsia"/>
                <w:lang w:val="en-US" w:eastAsia="zh-CN"/>
              </w:rPr>
            </w:pPr>
          </w:p>
          <w:p>
            <w:pPr>
              <w:pStyle w:val="2"/>
              <w:ind w:left="0" w:leftChars="0" w:firstLine="0" w:firstLineChars="0"/>
              <w:rPr>
                <w:rFonts w:hint="default"/>
                <w:lang w:val="en-US" w:eastAsia="zh-CN"/>
              </w:rPr>
            </w:pPr>
          </w:p>
          <w:p>
            <w:pPr>
              <w:rPr>
                <w:rFonts w:hint="eastAsi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r>
              <w:rPr>
                <w:rFonts w:hint="eastAsia"/>
                <w:lang w:val="en-US" w:eastAsia="zh-CN"/>
              </w:rPr>
              <w:t>检查计量表的配备情况：</w:t>
            </w:r>
          </w:p>
          <w:p>
            <w:pPr>
              <w:pStyle w:val="4"/>
            </w:pPr>
            <w:r>
              <w:pict>
                <v:shape id="_x0000_i1026" o:spt="75" type="#_x0000_t75" style="height:196.55pt;width:487.8pt;" filled="f" o:preferrelative="t" stroked="f" coordsize="21600,21600">
                  <v:path/>
                  <v:fill on="f" focussize="0,0"/>
                  <v:stroke on="f"/>
                  <v:imagedata r:id="rId7" o:title=""/>
                  <o:lock v:ext="edit" aspectratio="t"/>
                  <w10:wrap type="none"/>
                  <w10:anchorlock/>
                </v:shape>
              </w:pict>
            </w:r>
          </w:p>
          <w:p>
            <w:pPr>
              <w:pStyle w:val="3"/>
            </w:pPr>
          </w:p>
          <w:p>
            <w:pPr>
              <w:pStyle w:val="3"/>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燃气计量表的配备情况：</w:t>
            </w:r>
          </w:p>
          <w:p>
            <w:pPr>
              <w:pStyle w:val="3"/>
              <w:rPr>
                <w:rFonts w:hint="default"/>
                <w:lang w:val="en-US" w:eastAsia="zh-CN"/>
              </w:rPr>
            </w:pPr>
            <w:r>
              <w:rPr>
                <w:rFonts w:hint="eastAsia" w:ascii="Times New Roman" w:hAnsi="Times New Roman" w:eastAsia="宋体" w:cs="Times New Roman"/>
                <w:kern w:val="2"/>
                <w:sz w:val="21"/>
                <w:szCs w:val="20"/>
                <w:lang w:val="en-US" w:eastAsia="zh-CN" w:bidi="ar-SA"/>
              </w:rPr>
              <w:t>进厂的天然气只供中频熔化炉，下面没有分支计量，</w:t>
            </w:r>
            <w:r>
              <w:rPr>
                <w:rFonts w:hint="eastAsia" w:cs="Times New Roman"/>
                <w:kern w:val="2"/>
                <w:sz w:val="21"/>
                <w:szCs w:val="20"/>
                <w:lang w:val="en-US" w:eastAsia="zh-CN" w:bidi="ar-SA"/>
              </w:rPr>
              <w:t>进厂的燃气计量表由燃气公司负责。</w:t>
            </w:r>
          </w:p>
        </w:tc>
        <w:tc>
          <w:tcPr>
            <w:tcW w:w="722"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y</w:t>
            </w:r>
          </w:p>
        </w:tc>
      </w:tr>
    </w:tbl>
    <w:p>
      <w:pPr>
        <w:rPr>
          <w:szCs w:val="21"/>
        </w:rPr>
      </w:pPr>
    </w:p>
    <w:p>
      <w:pPr>
        <w:pStyle w:val="7"/>
        <w:rPr>
          <w:sz w:val="21"/>
          <w:szCs w:val="21"/>
        </w:rPr>
      </w:pPr>
    </w:p>
    <w:p>
      <w:pPr>
        <w:pStyle w:val="7"/>
        <w:rPr>
          <w:sz w:val="21"/>
          <w:szCs w:val="21"/>
        </w:rPr>
      </w:pPr>
    </w:p>
    <w:p>
      <w:pPr>
        <w:pStyle w:val="7"/>
        <w:rPr>
          <w:sz w:val="21"/>
          <w:szCs w:val="21"/>
        </w:rPr>
      </w:pPr>
    </w:p>
    <w:p>
      <w:pPr>
        <w:pStyle w:val="7"/>
        <w:rPr>
          <w:sz w:val="21"/>
          <w:szCs w:val="21"/>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88"/>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788" w:type="dxa"/>
            <w:vAlign w:val="center"/>
          </w:tcPr>
          <w:p>
            <w:pPr>
              <w:rPr>
                <w:rFonts w:hint="default" w:eastAsia="宋体"/>
                <w:szCs w:val="21"/>
                <w:lang w:val="en-US" w:eastAsia="zh-CN"/>
              </w:rPr>
            </w:pPr>
            <w:r>
              <w:rPr>
                <w:rFonts w:hint="eastAsia"/>
                <w:szCs w:val="21"/>
              </w:rPr>
              <w:t>受审核部门：</w:t>
            </w:r>
            <w:r>
              <w:rPr>
                <w:rFonts w:hint="eastAsia"/>
                <w:szCs w:val="21"/>
                <w:lang w:val="en-US" w:eastAsia="zh-CN"/>
              </w:rPr>
              <w:t>采购</w:t>
            </w:r>
            <w:r>
              <w:rPr>
                <w:rFonts w:hint="eastAsia"/>
                <w:szCs w:val="21"/>
              </w:rPr>
              <w:t>部</w:t>
            </w:r>
            <w:r>
              <w:rPr>
                <w:szCs w:val="21"/>
              </w:rPr>
              <w:t xml:space="preserve">     </w:t>
            </w:r>
            <w:r>
              <w:rPr>
                <w:rFonts w:hint="eastAsia"/>
                <w:szCs w:val="21"/>
                <w:lang w:val="en-US" w:eastAsia="zh-CN"/>
              </w:rPr>
              <w:t xml:space="preserve">   </w:t>
            </w:r>
            <w:r>
              <w:rPr>
                <w:szCs w:val="21"/>
              </w:rPr>
              <w:t xml:space="preserve">  </w:t>
            </w:r>
            <w:r>
              <w:rPr>
                <w:rFonts w:hint="eastAsia"/>
                <w:szCs w:val="21"/>
              </w:rPr>
              <w:t>主管领导：</w:t>
            </w:r>
            <w:r>
              <w:rPr>
                <w:rFonts w:hint="eastAsia"/>
                <w:szCs w:val="21"/>
                <w:lang w:val="en-US" w:eastAsia="zh-CN"/>
              </w:rPr>
              <w:t>徐福强</w:t>
            </w:r>
            <w:r>
              <w:rPr>
                <w:szCs w:val="21"/>
              </w:rPr>
              <w:t xml:space="preserve">             </w:t>
            </w:r>
            <w:r>
              <w:rPr>
                <w:rFonts w:hint="eastAsia"/>
                <w:szCs w:val="21"/>
              </w:rPr>
              <w:t>陪同人员：</w:t>
            </w:r>
            <w:r>
              <w:rPr>
                <w:rFonts w:hint="eastAsia"/>
                <w:szCs w:val="21"/>
                <w:lang w:val="en-US" w:eastAsia="zh-CN"/>
              </w:rPr>
              <w:t>张成根</w:t>
            </w:r>
          </w:p>
        </w:tc>
        <w:tc>
          <w:tcPr>
            <w:tcW w:w="801"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788" w:type="dxa"/>
            <w:vAlign w:val="center"/>
          </w:tcPr>
          <w:p>
            <w:pPr>
              <w:spacing w:before="120"/>
              <w:rPr>
                <w:rFonts w:hint="eastAsia" w:eastAsia="宋体"/>
                <w:szCs w:val="21"/>
                <w:lang w:eastAsia="zh-CN"/>
              </w:rPr>
            </w:pPr>
            <w:r>
              <w:rPr>
                <w:rFonts w:hint="eastAsia"/>
                <w:szCs w:val="21"/>
              </w:rPr>
              <w:t>审核员：周涛、</w:t>
            </w:r>
            <w:r>
              <w:rPr>
                <w:szCs w:val="21"/>
              </w:rPr>
              <w:t xml:space="preserve">       </w:t>
            </w:r>
            <w:r>
              <w:rPr>
                <w:rFonts w:hint="eastAsia"/>
                <w:szCs w:val="21"/>
              </w:rPr>
              <w:t>审核时间：</w:t>
            </w:r>
            <w:r>
              <w:rPr>
                <w:szCs w:val="21"/>
              </w:rPr>
              <w:t>2021.</w:t>
            </w:r>
            <w:r>
              <w:rPr>
                <w:rFonts w:hint="eastAsia"/>
                <w:szCs w:val="21"/>
                <w:lang w:val="en-US" w:eastAsia="zh-CN"/>
              </w:rPr>
              <w:t>4</w:t>
            </w:r>
            <w:r>
              <w:rPr>
                <w:szCs w:val="21"/>
              </w:rPr>
              <w:t>.</w:t>
            </w:r>
            <w:r>
              <w:rPr>
                <w:rFonts w:hint="eastAsia"/>
                <w:szCs w:val="21"/>
                <w:lang w:val="en-US" w:eastAsia="zh-CN"/>
              </w:rPr>
              <w:t>1</w:t>
            </w:r>
          </w:p>
        </w:tc>
        <w:tc>
          <w:tcPr>
            <w:tcW w:w="80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788" w:type="dxa"/>
            <w:vAlign w:val="center"/>
          </w:tcPr>
          <w:p>
            <w:pPr>
              <w:rPr>
                <w:szCs w:val="21"/>
              </w:rPr>
            </w:pPr>
            <w:r>
              <w:rPr>
                <w:rFonts w:hint="eastAsia"/>
                <w:szCs w:val="21"/>
              </w:rPr>
              <w:t>审核条款：</w:t>
            </w:r>
            <w:r>
              <w:rPr>
                <w:rFonts w:ascii="宋体" w:hAnsi="宋体"/>
                <w:szCs w:val="21"/>
              </w:rPr>
              <w:t xml:space="preserve">5.3 </w:t>
            </w:r>
            <w:r>
              <w:rPr>
                <w:rFonts w:hint="eastAsia" w:ascii="宋体" w:hAnsi="宋体"/>
                <w:szCs w:val="21"/>
              </w:rPr>
              <w:t>组织的岗位、职责和权限、</w:t>
            </w:r>
            <w:r>
              <w:rPr>
                <w:rFonts w:ascii="宋体" w:hAnsi="宋体"/>
                <w:szCs w:val="21"/>
              </w:rPr>
              <w:t xml:space="preserve">6.2 </w:t>
            </w:r>
            <w:r>
              <w:rPr>
                <w:rFonts w:hint="eastAsia" w:ascii="宋体" w:hAnsi="宋体"/>
                <w:szCs w:val="21"/>
              </w:rPr>
              <w:t>目标、能源指及其实现的策划、</w:t>
            </w:r>
            <w:r>
              <w:rPr>
                <w:rFonts w:ascii="宋体" w:hAnsi="宋体"/>
                <w:szCs w:val="21"/>
              </w:rPr>
              <w:t xml:space="preserve">6.3 </w:t>
            </w:r>
            <w:r>
              <w:rPr>
                <w:rFonts w:hint="eastAsia" w:ascii="宋体" w:hAnsi="宋体"/>
                <w:szCs w:val="21"/>
              </w:rPr>
              <w:t>能源评审、</w:t>
            </w:r>
            <w:r>
              <w:rPr>
                <w:rFonts w:ascii="宋体" w:hAnsi="宋体"/>
                <w:szCs w:val="21"/>
              </w:rPr>
              <w:t xml:space="preserve">8.1 </w:t>
            </w:r>
            <w:r>
              <w:rPr>
                <w:rFonts w:hint="eastAsia" w:ascii="宋体" w:hAnsi="宋体"/>
                <w:szCs w:val="21"/>
              </w:rPr>
              <w:t>运行的策划和控制、</w:t>
            </w:r>
            <w:r>
              <w:rPr>
                <w:rFonts w:ascii="宋体" w:hAnsi="宋体"/>
                <w:szCs w:val="21"/>
              </w:rPr>
              <w:t>8.3</w:t>
            </w:r>
            <w:r>
              <w:rPr>
                <w:rFonts w:hint="eastAsia" w:ascii="宋体" w:hAnsi="宋体"/>
                <w:szCs w:val="21"/>
              </w:rPr>
              <w:t>采购、</w:t>
            </w:r>
            <w:r>
              <w:rPr>
                <w:rFonts w:ascii="宋体" w:hAnsi="宋体"/>
                <w:szCs w:val="21"/>
              </w:rPr>
              <w:t xml:space="preserve">10.1 </w:t>
            </w:r>
            <w:r>
              <w:rPr>
                <w:rFonts w:hint="eastAsia" w:ascii="宋体" w:hAnsi="宋体"/>
                <w:szCs w:val="21"/>
              </w:rPr>
              <w:t>不符合与纠正措施</w:t>
            </w:r>
          </w:p>
        </w:tc>
        <w:tc>
          <w:tcPr>
            <w:tcW w:w="80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szCs w:val="21"/>
              </w:rPr>
            </w:pPr>
            <w:r>
              <w:rPr>
                <w:rFonts w:hint="eastAsia" w:ascii="宋体" w:hAnsi="宋体"/>
                <w:szCs w:val="21"/>
              </w:rPr>
              <w:t>组织的岗位、职责和权限、</w:t>
            </w:r>
          </w:p>
        </w:tc>
        <w:tc>
          <w:tcPr>
            <w:tcW w:w="960" w:type="dxa"/>
          </w:tcPr>
          <w:p>
            <w:pPr>
              <w:rPr>
                <w:szCs w:val="21"/>
              </w:rPr>
            </w:pPr>
            <w:r>
              <w:rPr>
                <w:rFonts w:ascii="宋体" w:hAnsi="宋体"/>
                <w:szCs w:val="21"/>
              </w:rPr>
              <w:t xml:space="preserve">5.3 </w:t>
            </w:r>
          </w:p>
        </w:tc>
        <w:tc>
          <w:tcPr>
            <w:tcW w:w="10788" w:type="dxa"/>
          </w:tcPr>
          <w:p>
            <w:pPr>
              <w:rPr>
                <w:szCs w:val="21"/>
              </w:rPr>
            </w:pPr>
            <w:r>
              <w:rPr>
                <w:rFonts w:hint="eastAsia"/>
                <w:szCs w:val="21"/>
              </w:rPr>
              <w:t>负责人：</w:t>
            </w:r>
          </w:p>
          <w:p>
            <w:pPr>
              <w:rPr>
                <w:szCs w:val="21"/>
              </w:rPr>
            </w:pPr>
            <w:r>
              <w:rPr>
                <w:rFonts w:hint="eastAsia"/>
                <w:szCs w:val="21"/>
              </w:rPr>
              <w:t>物资部职责：</w:t>
            </w:r>
          </w:p>
          <w:p>
            <w:pPr>
              <w:numPr>
                <w:ilvl w:val="0"/>
                <w:numId w:val="2"/>
              </w:numPr>
              <w:rPr>
                <w:szCs w:val="21"/>
              </w:rPr>
            </w:pPr>
            <w:r>
              <w:rPr>
                <w:rFonts w:hint="eastAsia"/>
                <w:szCs w:val="21"/>
              </w:rPr>
              <w:t>负责设备、设备的配置；</w:t>
            </w:r>
          </w:p>
          <w:p>
            <w:pPr>
              <w:numPr>
                <w:ilvl w:val="0"/>
                <w:numId w:val="2"/>
              </w:numPr>
              <w:rPr>
                <w:szCs w:val="21"/>
              </w:rPr>
            </w:pPr>
            <w:r>
              <w:rPr>
                <w:rFonts w:hint="eastAsia"/>
                <w:szCs w:val="21"/>
              </w:rPr>
              <w:t>负责物资的采购工作；</w:t>
            </w:r>
          </w:p>
          <w:p>
            <w:pPr>
              <w:rPr>
                <w:szCs w:val="21"/>
              </w:rPr>
            </w:pPr>
          </w:p>
        </w:tc>
        <w:tc>
          <w:tcPr>
            <w:tcW w:w="801" w:type="dxa"/>
          </w:tcPr>
          <w:p>
            <w:pPr>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160" w:type="dxa"/>
          </w:tcPr>
          <w:p>
            <w:pPr>
              <w:rPr>
                <w:szCs w:val="21"/>
              </w:rPr>
            </w:pPr>
            <w:r>
              <w:rPr>
                <w:rFonts w:hint="eastAsia" w:ascii="宋体" w:hAnsi="宋体"/>
                <w:szCs w:val="21"/>
              </w:rPr>
              <w:t>目标、能源指及其实现的策划、</w:t>
            </w:r>
          </w:p>
        </w:tc>
        <w:tc>
          <w:tcPr>
            <w:tcW w:w="960" w:type="dxa"/>
          </w:tcPr>
          <w:p>
            <w:pPr>
              <w:rPr>
                <w:szCs w:val="21"/>
              </w:rPr>
            </w:pPr>
            <w:r>
              <w:rPr>
                <w:rFonts w:ascii="宋体" w:hAnsi="宋体"/>
                <w:szCs w:val="21"/>
              </w:rPr>
              <w:t xml:space="preserve">6.2 </w:t>
            </w:r>
          </w:p>
        </w:tc>
        <w:tc>
          <w:tcPr>
            <w:tcW w:w="10788" w:type="dxa"/>
          </w:tcPr>
          <w:p>
            <w:pPr>
              <w:rPr>
                <w:rFonts w:ascii="宋体" w:cs="宋体"/>
                <w:szCs w:val="21"/>
              </w:rPr>
            </w:pPr>
            <w:r>
              <w:rPr>
                <w:rFonts w:hint="eastAsia" w:ascii="宋体" w:hAnsi="宋体" w:cs="宋体"/>
                <w:szCs w:val="21"/>
              </w:rPr>
              <w:t>编制了文件化的《管理目标、指标分解（</w:t>
            </w:r>
            <w:r>
              <w:rPr>
                <w:rFonts w:ascii="宋体" w:hAnsi="宋体" w:cs="宋体"/>
                <w:szCs w:val="21"/>
              </w:rPr>
              <w:t>7</w:t>
            </w:r>
            <w:r>
              <w:rPr>
                <w:rFonts w:hint="eastAsia" w:ascii="宋体" w:hAnsi="宋体" w:cs="宋体"/>
                <w:szCs w:val="21"/>
              </w:rPr>
              <w:t>月</w:t>
            </w:r>
            <w:r>
              <w:rPr>
                <w:rFonts w:ascii="宋体" w:hAnsi="宋体" w:cs="宋体"/>
                <w:szCs w:val="21"/>
              </w:rPr>
              <w:t>—12</w:t>
            </w:r>
            <w:r>
              <w:rPr>
                <w:rFonts w:hint="eastAsia" w:ascii="宋体" w:hAnsi="宋体" w:cs="宋体"/>
                <w:szCs w:val="21"/>
              </w:rPr>
              <w:t>月）》目标指标“</w:t>
            </w:r>
            <w:r>
              <w:rPr>
                <w:rFonts w:hint="eastAsia" w:ascii="宋体" w:hAnsi="宋体" w:cs="宋体"/>
                <w:szCs w:val="21"/>
                <w:lang w:val="en-US" w:eastAsia="zh-CN"/>
              </w:rPr>
              <w:t>每月耗电不超过1250KWh</w:t>
            </w:r>
            <w:r>
              <w:rPr>
                <w:rFonts w:hint="eastAsia" w:ascii="宋体" w:hAnsi="宋体" w:cs="宋体"/>
                <w:szCs w:val="21"/>
              </w:rPr>
              <w:t>”</w:t>
            </w:r>
            <w:r>
              <w:rPr>
                <w:rFonts w:ascii="宋体" w:hAnsi="宋体" w:cs="宋体"/>
                <w:szCs w:val="21"/>
              </w:rPr>
              <w:t>——</w:t>
            </w:r>
            <w:r>
              <w:rPr>
                <w:rFonts w:hint="eastAsia" w:ascii="宋体" w:hAnsi="宋体" w:cs="宋体"/>
                <w:szCs w:val="21"/>
              </w:rPr>
              <w:t>查基本结合了实际情况；</w:t>
            </w:r>
          </w:p>
          <w:p>
            <w:pPr>
              <w:rPr>
                <w:rFonts w:ascii="宋体" w:cs="宋体"/>
                <w:szCs w:val="21"/>
              </w:rPr>
            </w:pPr>
            <w:r>
              <w:rPr>
                <w:rFonts w:hint="eastAsia" w:ascii="宋体" w:hAnsi="宋体" w:cs="宋体"/>
                <w:szCs w:val="21"/>
              </w:rPr>
              <w:t>提供《能源管理方案》</w:t>
            </w:r>
            <w:r>
              <w:rPr>
                <w:rFonts w:ascii="宋体" w:hAnsi="宋体" w:cs="宋体"/>
                <w:szCs w:val="21"/>
              </w:rPr>
              <w:t>6</w:t>
            </w:r>
            <w:r>
              <w:rPr>
                <w:rFonts w:hint="eastAsia" w:ascii="宋体" w:hAnsi="宋体" w:cs="宋体"/>
                <w:szCs w:val="21"/>
              </w:rPr>
              <w:t>条、规定了职责和权限、采取的技术方法、施工方法和实施过程中应注意问题；确定需要的资源（人力物力财力）、时间进度表、验证能源绩效改进过程的方法；具体“建设能源管理数据平台，完善计量仪表，准确计量用能情况；变频、定频水泵的切换应考虑设备的负荷，在负荷较低的工况下计量使用变频水泵，满负荷的情况下使用定频水泵，提升变频水泵实际的使用节能效果；更换</w:t>
            </w:r>
            <w:r>
              <w:rPr>
                <w:rFonts w:ascii="宋体" w:hAnsi="宋体" w:cs="宋体"/>
                <w:szCs w:val="21"/>
              </w:rPr>
              <w:t>LED</w:t>
            </w:r>
            <w:r>
              <w:rPr>
                <w:rFonts w:hint="eastAsia" w:ascii="宋体" w:hAnsi="宋体" w:cs="宋体"/>
                <w:szCs w:val="21"/>
              </w:rPr>
              <w:t>灯具”</w:t>
            </w:r>
            <w:r>
              <w:rPr>
                <w:rFonts w:ascii="宋体" w:hAnsi="宋体" w:cs="宋体"/>
                <w:szCs w:val="21"/>
              </w:rPr>
              <w:t xml:space="preserve"> </w:t>
            </w:r>
            <w:r>
              <w:rPr>
                <w:rFonts w:hint="eastAsia" w:ascii="宋体" w:hAnsi="宋体" w:cs="宋体"/>
                <w:szCs w:val="21"/>
              </w:rPr>
              <w:t>等；</w:t>
            </w:r>
          </w:p>
          <w:p>
            <w:pPr>
              <w:rPr>
                <w:rFonts w:ascii="宋体" w:cs="宋体"/>
                <w:szCs w:val="21"/>
              </w:rPr>
            </w:pPr>
            <w:r>
              <w:rPr>
                <w:rFonts w:ascii="宋体" w:hAnsi="宋体" w:cs="宋体"/>
                <w:szCs w:val="21"/>
              </w:rPr>
              <w:t>——</w:t>
            </w:r>
            <w:r>
              <w:rPr>
                <w:rFonts w:hint="eastAsia" w:ascii="宋体" w:hAnsi="宋体" w:cs="宋体"/>
                <w:szCs w:val="21"/>
              </w:rPr>
              <w:t>查基本符合实际情况；</w:t>
            </w:r>
          </w:p>
          <w:p>
            <w:pPr>
              <w:rPr>
                <w:szCs w:val="21"/>
              </w:rPr>
            </w:pPr>
            <w:r>
              <w:rPr>
                <w:rFonts w:hint="eastAsia" w:ascii="宋体" w:hAnsi="宋体" w:cs="宋体"/>
                <w:szCs w:val="21"/>
              </w:rPr>
              <w:t>另查</w:t>
            </w:r>
            <w:r>
              <w:rPr>
                <w:rFonts w:ascii="宋体" w:hAnsi="宋体" w:cs="宋体"/>
                <w:szCs w:val="21"/>
              </w:rPr>
              <w:t>2020</w:t>
            </w:r>
            <w:r>
              <w:rPr>
                <w:rFonts w:hint="eastAsia" w:ascii="宋体" w:hAnsi="宋体" w:cs="宋体"/>
                <w:szCs w:val="21"/>
              </w:rPr>
              <w:t>年以来目标指标基本达标；</w:t>
            </w:r>
          </w:p>
        </w:tc>
        <w:tc>
          <w:tcPr>
            <w:tcW w:w="801" w:type="dxa"/>
          </w:tcPr>
          <w:p>
            <w:pPr>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160" w:type="dxa"/>
          </w:tcPr>
          <w:p>
            <w:pPr>
              <w:rPr>
                <w:szCs w:val="21"/>
              </w:rPr>
            </w:pPr>
            <w:r>
              <w:rPr>
                <w:rFonts w:hint="eastAsia" w:ascii="宋体" w:hAnsi="宋体"/>
                <w:szCs w:val="21"/>
              </w:rPr>
              <w:t>能源评审、</w:t>
            </w:r>
          </w:p>
        </w:tc>
        <w:tc>
          <w:tcPr>
            <w:tcW w:w="960" w:type="dxa"/>
          </w:tcPr>
          <w:p>
            <w:pPr>
              <w:rPr>
                <w:szCs w:val="21"/>
              </w:rPr>
            </w:pPr>
            <w:r>
              <w:rPr>
                <w:rFonts w:ascii="宋体" w:hAnsi="宋体"/>
                <w:szCs w:val="21"/>
              </w:rPr>
              <w:t xml:space="preserve">6.3 </w:t>
            </w:r>
          </w:p>
        </w:tc>
        <w:tc>
          <w:tcPr>
            <w:tcW w:w="10788" w:type="dxa"/>
          </w:tcPr>
          <w:p>
            <w:pPr>
              <w:spacing w:line="280" w:lineRule="exact"/>
              <w:rPr>
                <w:rFonts w:ascii="宋体" w:cs="宋体"/>
                <w:szCs w:val="21"/>
              </w:rPr>
            </w:pPr>
            <w:r>
              <w:rPr>
                <w:rFonts w:hint="eastAsia" w:ascii="宋体" w:hAnsi="宋体" w:cs="宋体"/>
                <w:szCs w:val="21"/>
              </w:rPr>
              <w:t>提供《初始能源评审报告</w:t>
            </w:r>
            <w:r>
              <w:rPr>
                <w:rFonts w:hint="eastAsia" w:ascii="宋体" w:hAnsi="宋体" w:cs="宋体"/>
                <w:szCs w:val="21"/>
                <w:u w:val="single"/>
              </w:rPr>
              <w:t>》评审的范围和边</w:t>
            </w:r>
            <w:r>
              <w:rPr>
                <w:rFonts w:hint="eastAsia" w:ascii="宋体" w:hAnsi="宋体" w:cs="宋体"/>
                <w:szCs w:val="21"/>
              </w:rPr>
              <w:t>界：为位于镇江市丹徒新区盛园路</w:t>
            </w:r>
            <w:r>
              <w:rPr>
                <w:rFonts w:ascii="宋体" w:hAnsi="宋体" w:cs="宋体"/>
                <w:szCs w:val="21"/>
              </w:rPr>
              <w:t>24</w:t>
            </w:r>
            <w:r>
              <w:rPr>
                <w:rFonts w:hint="eastAsia" w:ascii="宋体" w:hAnsi="宋体" w:cs="宋体"/>
                <w:szCs w:val="21"/>
              </w:rPr>
              <w:t>号的江苏明润环境科技有限公司，主营环保设备产品生产及有关的能源管理活动，与能源管理体系范围一致。</w:t>
            </w:r>
          </w:p>
          <w:p>
            <w:pPr>
              <w:spacing w:line="280" w:lineRule="exact"/>
              <w:rPr>
                <w:rFonts w:ascii="宋体" w:cs="宋体"/>
                <w:szCs w:val="21"/>
              </w:rPr>
            </w:pPr>
            <w:r>
              <w:rPr>
                <w:rFonts w:hint="eastAsia" w:ascii="宋体" w:hAnsi="宋体" w:cs="宋体"/>
                <w:szCs w:val="21"/>
              </w:rPr>
              <w:t>包括主要生产系统：电焊车间或组装生产线。</w:t>
            </w:r>
          </w:p>
          <w:p>
            <w:pPr>
              <w:spacing w:line="280" w:lineRule="exact"/>
              <w:rPr>
                <w:rFonts w:ascii="宋体" w:cs="宋体"/>
                <w:szCs w:val="21"/>
              </w:rPr>
            </w:pPr>
            <w:r>
              <w:rPr>
                <w:rFonts w:hint="eastAsia" w:ascii="宋体" w:hAnsi="宋体" w:cs="宋体"/>
                <w:szCs w:val="21"/>
              </w:rPr>
              <w:t>包括辅助生产系统：供配电、热电系统、检修、污水处理系统。</w:t>
            </w:r>
          </w:p>
          <w:p>
            <w:pPr>
              <w:spacing w:line="280" w:lineRule="exact"/>
              <w:rPr>
                <w:rFonts w:ascii="宋体" w:cs="宋体"/>
                <w:szCs w:val="21"/>
              </w:rPr>
            </w:pPr>
            <w:r>
              <w:rPr>
                <w:rFonts w:hint="eastAsia" w:ascii="宋体" w:hAnsi="宋体" w:cs="宋体"/>
                <w:szCs w:val="21"/>
              </w:rPr>
              <w:t>包括附属生产系统：生产部、工程部、泵房维保部、质量中心、物资部等行政办公支持系统。</w:t>
            </w:r>
          </w:p>
          <w:p>
            <w:pPr>
              <w:spacing w:line="280" w:lineRule="exact"/>
              <w:rPr>
                <w:rFonts w:ascii="宋体" w:cs="宋体"/>
                <w:szCs w:val="21"/>
              </w:rPr>
            </w:pPr>
            <w:r>
              <w:rPr>
                <w:rFonts w:hint="eastAsia" w:ascii="宋体" w:hAnsi="宋体" w:cs="宋体"/>
                <w:szCs w:val="21"/>
              </w:rPr>
              <w:t>边界</w:t>
            </w:r>
            <w:r>
              <w:rPr>
                <w:rFonts w:ascii="宋体" w:hAnsi="宋体" w:cs="宋体"/>
                <w:szCs w:val="21"/>
              </w:rPr>
              <w:t>A</w:t>
            </w:r>
            <w:r>
              <w:rPr>
                <w:rFonts w:hint="eastAsia" w:ascii="宋体" w:hAnsi="宋体" w:cs="宋体"/>
                <w:szCs w:val="21"/>
              </w:rPr>
              <w:t>：公司生产系统及配套辅助系统、办公系统，与能源管理体系范围一致。</w:t>
            </w:r>
          </w:p>
          <w:p>
            <w:pPr>
              <w:spacing w:line="280" w:lineRule="exact"/>
              <w:rPr>
                <w:rFonts w:ascii="宋体" w:cs="宋体"/>
                <w:szCs w:val="21"/>
              </w:rPr>
            </w:pPr>
            <w:r>
              <w:rPr>
                <w:rFonts w:hint="eastAsia" w:ascii="宋体" w:hAnsi="宋体" w:cs="宋体"/>
                <w:szCs w:val="21"/>
              </w:rPr>
              <w:t>例：</w:t>
            </w:r>
          </w:p>
          <w:p>
            <w:pPr>
              <w:spacing w:line="280" w:lineRule="exact"/>
              <w:rPr>
                <w:rFonts w:ascii="宋体" w:cs="宋体"/>
                <w:szCs w:val="21"/>
              </w:rPr>
            </w:pPr>
            <w:r>
              <w:rPr>
                <w:rFonts w:hint="eastAsia" w:ascii="宋体" w:hAnsi="宋体" w:cs="宋体"/>
                <w:szCs w:val="21"/>
              </w:rPr>
              <w:t>边界</w:t>
            </w:r>
            <w:r>
              <w:rPr>
                <w:rFonts w:ascii="宋体" w:hAnsi="宋体" w:cs="宋体"/>
                <w:szCs w:val="21"/>
              </w:rPr>
              <w:t>B</w:t>
            </w:r>
            <w:r>
              <w:rPr>
                <w:rFonts w:hint="eastAsia" w:ascii="宋体" w:hAnsi="宋体" w:cs="宋体"/>
                <w:szCs w:val="21"/>
              </w:rPr>
              <w:t>：以钢材为原料，包括切割、冲压、焊接、装配等过程的生产系统，包含自产蒸汽等辅助生产系统；（按行业能耗限额标准、企业能耗统计区间等来界定）</w:t>
            </w:r>
          </w:p>
          <w:p>
            <w:pPr>
              <w:spacing w:line="280" w:lineRule="exact"/>
              <w:rPr>
                <w:rFonts w:ascii="宋体" w:cs="宋体"/>
                <w:szCs w:val="21"/>
              </w:rPr>
            </w:pPr>
            <w:r>
              <w:rPr>
                <w:rFonts w:hint="eastAsia" w:ascii="宋体" w:hAnsi="宋体" w:cs="宋体"/>
                <w:szCs w:val="21"/>
              </w:rPr>
              <w:t>边界</w:t>
            </w:r>
            <w:r>
              <w:rPr>
                <w:rFonts w:ascii="宋体" w:hAnsi="宋体" w:cs="宋体"/>
                <w:szCs w:val="21"/>
              </w:rPr>
              <w:t>C</w:t>
            </w:r>
            <w:r>
              <w:rPr>
                <w:rFonts w:hint="eastAsia" w:ascii="宋体" w:hAnsi="宋体" w:cs="宋体"/>
                <w:szCs w:val="21"/>
              </w:rPr>
              <w:t>：环保设备生产等辅助生产系统；</w:t>
            </w:r>
          </w:p>
          <w:p>
            <w:pPr>
              <w:spacing w:line="280" w:lineRule="exact"/>
              <w:rPr>
                <w:rFonts w:ascii="宋体" w:cs="宋体"/>
                <w:szCs w:val="21"/>
              </w:rPr>
            </w:pPr>
            <w:r>
              <w:rPr>
                <w:rFonts w:hint="eastAsia" w:ascii="宋体" w:hAnsi="宋体" w:cs="宋体"/>
                <w:szCs w:val="21"/>
              </w:rPr>
              <w:t>边界</w:t>
            </w:r>
            <w:r>
              <w:rPr>
                <w:rFonts w:ascii="宋体" w:hAnsi="宋体" w:cs="宋体"/>
                <w:szCs w:val="21"/>
              </w:rPr>
              <w:t>D</w:t>
            </w:r>
            <w:r>
              <w:rPr>
                <w:rFonts w:hint="eastAsia" w:ascii="宋体" w:hAnsi="宋体" w:cs="宋体"/>
                <w:szCs w:val="21"/>
              </w:rPr>
              <w:t>：办公、空调等办公系统；</w:t>
            </w:r>
          </w:p>
          <w:p>
            <w:pPr>
              <w:spacing w:line="280" w:lineRule="exact"/>
              <w:rPr>
                <w:rFonts w:ascii="宋体" w:cs="宋体"/>
                <w:szCs w:val="21"/>
              </w:rPr>
            </w:pPr>
            <w:r>
              <w:rPr>
                <w:rFonts w:hint="eastAsia" w:ascii="宋体" w:hAnsi="宋体" w:cs="宋体"/>
                <w:szCs w:val="21"/>
              </w:rPr>
              <w:t>能源</w:t>
            </w:r>
            <w:r>
              <w:rPr>
                <w:rFonts w:hint="eastAsia" w:ascii="宋体" w:hAnsi="宋体" w:cs="宋体"/>
                <w:szCs w:val="21"/>
                <w:u w:val="single"/>
              </w:rPr>
              <w:t>初始评审的方法</w:t>
            </w:r>
            <w:r>
              <w:rPr>
                <w:rFonts w:hint="eastAsia" w:ascii="宋体" w:hAnsi="宋体" w:cs="宋体"/>
                <w:szCs w:val="21"/>
              </w:rPr>
              <w:t>：</w:t>
            </w:r>
          </w:p>
          <w:p>
            <w:pPr>
              <w:spacing w:line="280" w:lineRule="exact"/>
              <w:rPr>
                <w:rFonts w:ascii="宋体" w:cs="宋体"/>
                <w:szCs w:val="21"/>
              </w:rPr>
            </w:pPr>
            <w:r>
              <w:rPr>
                <w:rFonts w:hint="eastAsia" w:ascii="宋体" w:hAnsi="宋体" w:cs="宋体"/>
                <w:szCs w:val="21"/>
              </w:rPr>
              <w:t>根据我公司能源消耗与使用种类和能源管理特点，现确定采用以下方法为我公司能源初始评审的主要方法：</w:t>
            </w:r>
          </w:p>
          <w:p>
            <w:pPr>
              <w:spacing w:line="280" w:lineRule="exact"/>
              <w:rPr>
                <w:rFonts w:ascii="宋体" w:cs="宋体"/>
                <w:szCs w:val="21"/>
              </w:rPr>
            </w:pPr>
            <w:r>
              <w:rPr>
                <w:rFonts w:hint="eastAsia" w:ascii="宋体" w:hAnsi="宋体" w:cs="宋体"/>
                <w:szCs w:val="21"/>
              </w:rPr>
              <w:t>对各用能部门、过程的能源消耗与使用情况进行现场调查，收集资料；</w:t>
            </w:r>
          </w:p>
          <w:p>
            <w:pPr>
              <w:spacing w:line="280" w:lineRule="exact"/>
              <w:rPr>
                <w:rFonts w:ascii="宋体" w:cs="宋体"/>
                <w:szCs w:val="21"/>
              </w:rPr>
            </w:pPr>
            <w:r>
              <w:rPr>
                <w:rFonts w:hint="eastAsia" w:ascii="宋体" w:hAnsi="宋体" w:cs="宋体"/>
                <w:szCs w:val="21"/>
              </w:rPr>
              <w:t>通过绘制能流图，收集和计算能源绩效结果；</w:t>
            </w:r>
          </w:p>
          <w:p>
            <w:pPr>
              <w:spacing w:line="280" w:lineRule="exact"/>
              <w:rPr>
                <w:rFonts w:ascii="宋体" w:cs="宋体"/>
                <w:szCs w:val="21"/>
              </w:rPr>
            </w:pPr>
            <w:r>
              <w:rPr>
                <w:rFonts w:hint="eastAsia" w:ascii="宋体" w:hAnsi="宋体" w:cs="宋体"/>
                <w:szCs w:val="21"/>
              </w:rPr>
              <w:t>查阅原有的能源资料及统计台账，并对标了解差距；</w:t>
            </w:r>
          </w:p>
          <w:p>
            <w:pPr>
              <w:spacing w:line="280" w:lineRule="exact"/>
              <w:rPr>
                <w:rFonts w:ascii="宋体" w:cs="宋体"/>
                <w:szCs w:val="21"/>
              </w:rPr>
            </w:pPr>
            <w:r>
              <w:rPr>
                <w:rFonts w:hint="eastAsia" w:ascii="宋体" w:hAnsi="宋体" w:cs="宋体"/>
                <w:szCs w:val="21"/>
              </w:rPr>
              <w:t>通过专家诊断、员工头脑风暴法，寻找和确定改进机会；</w:t>
            </w:r>
          </w:p>
          <w:p>
            <w:pPr>
              <w:spacing w:line="280" w:lineRule="exact"/>
              <w:rPr>
                <w:rFonts w:ascii="宋体" w:cs="宋体"/>
                <w:szCs w:val="21"/>
              </w:rPr>
            </w:pPr>
            <w:r>
              <w:rPr>
                <w:rFonts w:hint="eastAsia" w:ascii="宋体" w:hAnsi="宋体" w:cs="宋体"/>
                <w:szCs w:val="21"/>
              </w:rPr>
              <w:t>公司</w:t>
            </w:r>
            <w:r>
              <w:rPr>
                <w:rFonts w:hint="eastAsia" w:ascii="宋体" w:hAnsi="宋体" w:cs="宋体"/>
                <w:szCs w:val="21"/>
                <w:u w:val="single"/>
              </w:rPr>
              <w:t>消耗的能源主要是电</w:t>
            </w:r>
            <w:r>
              <w:rPr>
                <w:rFonts w:hint="eastAsia" w:ascii="宋体" w:hAnsi="宋体" w:cs="宋体"/>
                <w:szCs w:val="21"/>
              </w:rPr>
              <w:t>力；</w:t>
            </w:r>
          </w:p>
          <w:p>
            <w:pPr>
              <w:spacing w:line="280" w:lineRule="exact"/>
              <w:rPr>
                <w:rFonts w:ascii="宋体" w:cs="宋体"/>
                <w:szCs w:val="21"/>
              </w:rPr>
            </w:pPr>
            <w:r>
              <w:rPr>
                <w:rFonts w:hint="eastAsia" w:ascii="宋体" w:hAnsi="宋体" w:cs="宋体"/>
                <w:szCs w:val="21"/>
              </w:rPr>
              <w:t>能源</w:t>
            </w:r>
            <w:r>
              <w:rPr>
                <w:rFonts w:hint="eastAsia" w:ascii="宋体" w:hAnsi="宋体" w:cs="宋体"/>
                <w:szCs w:val="21"/>
                <w:u w:val="single"/>
              </w:rPr>
              <w:t>计量设备及其配</w:t>
            </w:r>
            <w:r>
              <w:rPr>
                <w:rFonts w:hint="eastAsia" w:ascii="宋体" w:hAnsi="宋体" w:cs="宋体"/>
                <w:szCs w:val="21"/>
              </w:rPr>
              <w:t>备情况：总表</w:t>
            </w:r>
            <w:r>
              <w:rPr>
                <w:rFonts w:ascii="宋体" w:hAnsi="宋体" w:cs="宋体"/>
                <w:szCs w:val="21"/>
              </w:rPr>
              <w:t>1</w:t>
            </w:r>
            <w:r>
              <w:rPr>
                <w:rFonts w:hint="eastAsia" w:ascii="宋体" w:hAnsi="宋体" w:cs="宋体"/>
                <w:szCs w:val="21"/>
              </w:rPr>
              <w:t>块；</w:t>
            </w:r>
          </w:p>
          <w:p>
            <w:pPr>
              <w:spacing w:line="280" w:lineRule="exact"/>
              <w:rPr>
                <w:rFonts w:ascii="宋体" w:cs="宋体"/>
                <w:szCs w:val="21"/>
              </w:rPr>
            </w:pPr>
            <w:r>
              <w:rPr>
                <w:rFonts w:hint="eastAsia" w:ascii="宋体" w:hAnsi="宋体" w:cs="宋体"/>
                <w:szCs w:val="21"/>
              </w:rPr>
              <w:t>企</w:t>
            </w:r>
            <w:r>
              <w:rPr>
                <w:rFonts w:hint="eastAsia" w:ascii="宋体" w:hAnsi="宋体" w:cs="宋体"/>
                <w:szCs w:val="21"/>
                <w:u w:val="single"/>
              </w:rPr>
              <w:t>业能源管理</w:t>
            </w:r>
            <w:r>
              <w:rPr>
                <w:rFonts w:hint="eastAsia" w:ascii="宋体" w:hAnsi="宋体" w:cs="宋体"/>
                <w:szCs w:val="21"/>
              </w:rPr>
              <w:t>情况：</w:t>
            </w:r>
          </w:p>
          <w:p>
            <w:pPr>
              <w:spacing w:line="280" w:lineRule="exact"/>
              <w:rPr>
                <w:rFonts w:ascii="宋体" w:cs="宋体"/>
                <w:szCs w:val="21"/>
              </w:rPr>
            </w:pPr>
            <w:r>
              <w:rPr>
                <w:rFonts w:hint="eastAsia" w:ascii="宋体" w:hAnsi="宋体" w:cs="宋体"/>
                <w:szCs w:val="21"/>
              </w:rPr>
              <w:t>为了加强能源管理工作，降低消耗，提高能源利用率，推进公司节约能源，公司成立了以朱骏为组长的公司节能领导小组，负责整个公司的能源管理工作，公司各部门、分厂负责人和职能部门能源管理员为小组成员</w:t>
            </w:r>
          </w:p>
          <w:p>
            <w:pPr>
              <w:spacing w:line="280" w:lineRule="exact"/>
              <w:rPr>
                <w:rFonts w:ascii="宋体" w:cs="宋体"/>
                <w:szCs w:val="21"/>
              </w:rPr>
            </w:pPr>
            <w:r>
              <w:rPr>
                <w:rFonts w:hint="eastAsia" w:ascii="宋体" w:hAnsi="宋体" w:cs="宋体"/>
                <w:szCs w:val="21"/>
              </w:rPr>
              <w:t>公司已经</w:t>
            </w:r>
            <w:r>
              <w:rPr>
                <w:rFonts w:hint="eastAsia" w:ascii="宋体" w:hAnsi="宋体" w:cs="宋体"/>
                <w:szCs w:val="21"/>
                <w:u w:val="single"/>
              </w:rPr>
              <w:t>建设了能源相关管理</w:t>
            </w:r>
            <w:r>
              <w:rPr>
                <w:rFonts w:hint="eastAsia" w:ascii="宋体" w:hAnsi="宋体" w:cs="宋体"/>
                <w:szCs w:val="21"/>
              </w:rPr>
              <w:t>制度；</w:t>
            </w:r>
          </w:p>
          <w:p>
            <w:pPr>
              <w:spacing w:line="280" w:lineRule="exact"/>
              <w:rPr>
                <w:rFonts w:ascii="宋体" w:cs="宋体"/>
                <w:szCs w:val="21"/>
              </w:rPr>
            </w:pPr>
            <w:r>
              <w:rPr>
                <w:rFonts w:hint="eastAsia" w:ascii="宋体" w:hAnsi="宋体" w:cs="宋体"/>
                <w:szCs w:val="21"/>
              </w:rPr>
              <w:t>对适用的</w:t>
            </w:r>
            <w:r>
              <w:rPr>
                <w:rFonts w:hint="eastAsia" w:ascii="宋体" w:hAnsi="宋体" w:cs="宋体"/>
                <w:szCs w:val="21"/>
                <w:u w:val="single"/>
              </w:rPr>
              <w:t>能源法律法规及合规性做</w:t>
            </w:r>
            <w:r>
              <w:rPr>
                <w:rFonts w:hint="eastAsia" w:ascii="宋体" w:hAnsi="宋体" w:cs="宋体"/>
                <w:szCs w:val="21"/>
              </w:rPr>
              <w:t>出评价；</w:t>
            </w:r>
          </w:p>
          <w:p>
            <w:pPr>
              <w:pStyle w:val="3"/>
              <w:rPr>
                <w:rFonts w:ascii="宋体" w:cs="宋体"/>
                <w:sz w:val="21"/>
                <w:szCs w:val="21"/>
              </w:rPr>
            </w:pPr>
            <w:r>
              <w:rPr>
                <w:rFonts w:hint="eastAsia" w:ascii="宋体" w:hAnsi="宋体" w:cs="宋体"/>
                <w:sz w:val="21"/>
                <w:szCs w:val="21"/>
              </w:rPr>
              <w:t>“能</w:t>
            </w:r>
            <w:r>
              <w:rPr>
                <w:rFonts w:hint="eastAsia" w:ascii="宋体" w:hAnsi="宋体" w:cs="宋体"/>
                <w:sz w:val="21"/>
                <w:szCs w:val="21"/>
                <w:u w:val="single"/>
              </w:rPr>
              <w:t>源评审”</w:t>
            </w:r>
            <w:r>
              <w:rPr>
                <w:rFonts w:hint="eastAsia" w:ascii="宋体" w:hAnsi="宋体" w:cs="宋体"/>
                <w:sz w:val="21"/>
                <w:szCs w:val="21"/>
              </w:rPr>
              <w:t>结论：</w:t>
            </w:r>
          </w:p>
          <w:p>
            <w:pPr>
              <w:pStyle w:val="3"/>
              <w:numPr>
                <w:ilvl w:val="0"/>
                <w:numId w:val="3"/>
              </w:numPr>
              <w:rPr>
                <w:rFonts w:ascii="宋体" w:cs="宋体"/>
                <w:sz w:val="21"/>
                <w:szCs w:val="21"/>
              </w:rPr>
            </w:pPr>
            <w:r>
              <w:rPr>
                <w:rFonts w:hint="eastAsia" w:ascii="宋体" w:hAnsi="宋体" w:cs="宋体"/>
                <w:sz w:val="21"/>
                <w:szCs w:val="21"/>
              </w:rPr>
              <w:t>主要能源使用；</w:t>
            </w:r>
          </w:p>
          <w:p>
            <w:pPr>
              <w:pStyle w:val="3"/>
              <w:numPr>
                <w:ilvl w:val="0"/>
                <w:numId w:val="3"/>
              </w:numPr>
              <w:rPr>
                <w:rFonts w:ascii="宋体" w:cs="宋体"/>
                <w:sz w:val="21"/>
                <w:szCs w:val="21"/>
              </w:rPr>
            </w:pPr>
            <w:r>
              <w:rPr>
                <w:rFonts w:hint="eastAsia" w:ascii="宋体" w:hAnsi="宋体" w:cs="宋体"/>
                <w:sz w:val="21"/>
                <w:szCs w:val="21"/>
              </w:rPr>
              <w:t>主要耗能设备；</w:t>
            </w:r>
          </w:p>
          <w:p>
            <w:pPr>
              <w:pStyle w:val="3"/>
              <w:numPr>
                <w:ilvl w:val="0"/>
                <w:numId w:val="3"/>
              </w:numPr>
              <w:rPr>
                <w:rFonts w:ascii="宋体" w:cs="宋体"/>
                <w:sz w:val="21"/>
                <w:szCs w:val="21"/>
              </w:rPr>
            </w:pPr>
            <w:r>
              <w:rPr>
                <w:rFonts w:hint="eastAsia" w:ascii="宋体" w:hAnsi="宋体" w:cs="宋体"/>
                <w:sz w:val="21"/>
                <w:szCs w:val="21"/>
              </w:rPr>
              <w:t>主要用能岗位；</w:t>
            </w:r>
          </w:p>
          <w:p>
            <w:pPr>
              <w:pStyle w:val="3"/>
              <w:numPr>
                <w:ilvl w:val="0"/>
                <w:numId w:val="3"/>
              </w:numPr>
              <w:rPr>
                <w:rFonts w:ascii="宋体" w:cs="宋体"/>
                <w:sz w:val="21"/>
                <w:szCs w:val="21"/>
              </w:rPr>
            </w:pPr>
            <w:r>
              <w:rPr>
                <w:rFonts w:hint="eastAsia" w:ascii="宋体" w:hAnsi="宋体" w:cs="宋体"/>
                <w:sz w:val="21"/>
                <w:szCs w:val="21"/>
              </w:rPr>
              <w:t>改进机会识别等；</w:t>
            </w:r>
          </w:p>
        </w:tc>
        <w:tc>
          <w:tcPr>
            <w:tcW w:w="801" w:type="dxa"/>
          </w:tcPr>
          <w:p>
            <w:pPr>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szCs w:val="21"/>
              </w:rPr>
            </w:pPr>
            <w:r>
              <w:rPr>
                <w:rFonts w:hint="eastAsia" w:ascii="宋体" w:hAnsi="宋体"/>
                <w:szCs w:val="21"/>
              </w:rPr>
              <w:t>运行的策划和控制、</w:t>
            </w:r>
          </w:p>
        </w:tc>
        <w:tc>
          <w:tcPr>
            <w:tcW w:w="960" w:type="dxa"/>
          </w:tcPr>
          <w:p>
            <w:pPr>
              <w:rPr>
                <w:szCs w:val="21"/>
              </w:rPr>
            </w:pPr>
            <w:r>
              <w:rPr>
                <w:rFonts w:ascii="宋体" w:hAnsi="宋体"/>
                <w:szCs w:val="21"/>
              </w:rPr>
              <w:t xml:space="preserve">8.1 </w:t>
            </w:r>
          </w:p>
        </w:tc>
        <w:tc>
          <w:tcPr>
            <w:tcW w:w="10788" w:type="dxa"/>
          </w:tcPr>
          <w:p>
            <w:pPr>
              <w:spacing w:line="240" w:lineRule="atLeast"/>
              <w:rPr>
                <w:rFonts w:ascii="宋体" w:cs="宋体"/>
                <w:szCs w:val="21"/>
              </w:rPr>
            </w:pPr>
            <w:r>
              <w:rPr>
                <w:rFonts w:hint="eastAsia" w:ascii="宋体" w:hAnsi="宋体" w:cs="宋体"/>
                <w:szCs w:val="21"/>
              </w:rPr>
              <w:t>制定并执行《运行控制程序》，以满足需求实现能源目标中确定的行动。由</w:t>
            </w:r>
            <w:r>
              <w:rPr>
                <w:rFonts w:ascii="宋体" w:hAnsi="宋体" w:cs="宋体"/>
                <w:szCs w:val="21"/>
              </w:rPr>
              <w:t>:</w:t>
            </w:r>
          </w:p>
          <w:p>
            <w:pPr>
              <w:spacing w:line="240" w:lineRule="atLeast"/>
              <w:rPr>
                <w:rFonts w:ascii="宋体" w:cs="宋体"/>
                <w:szCs w:val="21"/>
              </w:rPr>
            </w:pPr>
            <w:r>
              <w:rPr>
                <w:rFonts w:ascii="宋体" w:hAnsi="宋体" w:cs="宋体"/>
                <w:szCs w:val="21"/>
              </w:rPr>
              <w:t>a)</w:t>
            </w:r>
            <w:r>
              <w:rPr>
                <w:rFonts w:hint="eastAsia" w:ascii="宋体" w:hAnsi="宋体" w:cs="宋体"/>
                <w:szCs w:val="21"/>
              </w:rPr>
              <w:t>制定有关过程的标准，包括设施、设备、系统和能源使用过程的有效操作和维护，如果没有这些过程，可能会导致对预期能源性能的重大偏离</w:t>
            </w:r>
            <w:r>
              <w:rPr>
                <w:rFonts w:ascii="宋体" w:hAnsi="宋体" w:cs="宋体"/>
                <w:szCs w:val="21"/>
              </w:rPr>
              <w:t>;</w:t>
            </w:r>
          </w:p>
          <w:p>
            <w:pPr>
              <w:spacing w:line="240" w:lineRule="atLeast"/>
              <w:rPr>
                <w:rFonts w:ascii="宋体" w:cs="宋体"/>
                <w:szCs w:val="21"/>
              </w:rPr>
            </w:pPr>
            <w:r>
              <w:rPr>
                <w:rFonts w:ascii="宋体" w:hAnsi="宋体" w:cs="宋体"/>
                <w:szCs w:val="21"/>
              </w:rPr>
              <w:t>b)</w:t>
            </w:r>
            <w:r>
              <w:rPr>
                <w:rFonts w:hint="eastAsia" w:ascii="宋体" w:hAnsi="宋体" w:cs="宋体"/>
                <w:szCs w:val="21"/>
              </w:rPr>
              <w:t>向在组织控制下工作的相关人员传达能源节约的益处；</w:t>
            </w:r>
          </w:p>
          <w:p>
            <w:pPr>
              <w:spacing w:line="240" w:lineRule="atLeast"/>
              <w:rPr>
                <w:rFonts w:ascii="宋体" w:cs="宋体"/>
                <w:szCs w:val="21"/>
              </w:rPr>
            </w:pPr>
            <w:r>
              <w:rPr>
                <w:rFonts w:ascii="宋体" w:hAnsi="宋体" w:cs="宋体"/>
                <w:szCs w:val="21"/>
              </w:rPr>
              <w:t>c)</w:t>
            </w:r>
            <w:r>
              <w:rPr>
                <w:rFonts w:hint="eastAsia" w:ascii="宋体" w:hAnsi="宋体" w:cs="宋体"/>
                <w:szCs w:val="21"/>
              </w:rPr>
              <w:t>按照标准实施对过程的控制，包括按照既定标准操作和维护设施、设备、系统和能源使用过程</w:t>
            </w:r>
            <w:r>
              <w:rPr>
                <w:rFonts w:ascii="宋体" w:hAnsi="宋体" w:cs="宋体"/>
                <w:szCs w:val="21"/>
              </w:rPr>
              <w:t>;</w:t>
            </w:r>
          </w:p>
          <w:p>
            <w:pPr>
              <w:spacing w:line="240" w:lineRule="atLeast"/>
              <w:rPr>
                <w:rFonts w:ascii="宋体" w:cs="宋体"/>
                <w:szCs w:val="21"/>
              </w:rPr>
            </w:pPr>
            <w:r>
              <w:rPr>
                <w:rFonts w:hint="eastAsia" w:ascii="宋体" w:hAnsi="宋体" w:cs="宋体"/>
                <w:szCs w:val="21"/>
              </w:rPr>
              <w:t>控制计划中的变更，并审查意外变更的后果，并在必要时采取行动减轻任何不利影响。</w:t>
            </w:r>
          </w:p>
          <w:p>
            <w:pPr>
              <w:spacing w:line="240" w:lineRule="atLeast"/>
              <w:rPr>
                <w:rFonts w:ascii="宋体" w:cs="宋体"/>
                <w:szCs w:val="21"/>
              </w:rPr>
            </w:pPr>
          </w:p>
        </w:tc>
        <w:tc>
          <w:tcPr>
            <w:tcW w:w="801" w:type="dxa"/>
          </w:tcPr>
          <w:p>
            <w:pPr>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160" w:type="dxa"/>
          </w:tcPr>
          <w:p>
            <w:pPr>
              <w:rPr>
                <w:rFonts w:ascii="宋体"/>
                <w:szCs w:val="21"/>
              </w:rPr>
            </w:pPr>
            <w:r>
              <w:rPr>
                <w:rFonts w:hint="eastAsia" w:ascii="宋体" w:hAnsi="宋体"/>
                <w:szCs w:val="21"/>
              </w:rPr>
              <w:t>采购、</w:t>
            </w:r>
          </w:p>
        </w:tc>
        <w:tc>
          <w:tcPr>
            <w:tcW w:w="960" w:type="dxa"/>
          </w:tcPr>
          <w:p>
            <w:pPr>
              <w:rPr>
                <w:szCs w:val="21"/>
              </w:rPr>
            </w:pPr>
            <w:r>
              <w:rPr>
                <w:rFonts w:ascii="宋体" w:hAnsi="宋体"/>
                <w:szCs w:val="21"/>
              </w:rPr>
              <w:t>8.3</w:t>
            </w:r>
          </w:p>
        </w:tc>
        <w:tc>
          <w:tcPr>
            <w:tcW w:w="10788" w:type="dxa"/>
          </w:tcPr>
          <w:p>
            <w:pPr>
              <w:rPr>
                <w:rFonts w:hint="default"/>
                <w:lang w:val="en-US" w:eastAsia="zh-CN"/>
              </w:rPr>
            </w:pPr>
            <w:r>
              <w:rPr>
                <w:rFonts w:hint="eastAsia"/>
                <w:lang w:val="en-US" w:eastAsia="zh-CN"/>
              </w:rPr>
              <w:t>编制了《采购控制程序》、《 供方控制程序》等</w:t>
            </w:r>
          </w:p>
          <w:p>
            <w:pPr>
              <w:rPr>
                <w:rFonts w:hint="eastAsia"/>
                <w:lang w:val="en-US" w:eastAsia="zh-CN"/>
              </w:rPr>
            </w:pPr>
            <w:r>
              <w:rPr>
                <w:rFonts w:hint="eastAsia"/>
                <w:lang w:val="en-US" w:eastAsia="zh-CN"/>
              </w:rPr>
              <w:t>负责公司的照明设备采购，与供应商签订框架合同，根据生产或车间的需要，把需求下达给供应商，提供相应的产品</w:t>
            </w:r>
          </w:p>
          <w:p>
            <w:pPr>
              <w:rPr>
                <w:rFonts w:hint="eastAsia"/>
                <w:lang w:val="en-US" w:eastAsia="zh-CN"/>
              </w:rPr>
            </w:pPr>
            <w:r>
              <w:rPr>
                <w:rFonts w:hint="eastAsia"/>
                <w:lang w:val="en-US" w:eastAsia="zh-CN"/>
              </w:rPr>
              <w:t>提供采购框架合同：包括相关要求、质量要求等</w:t>
            </w:r>
          </w:p>
          <w:p>
            <w:pPr>
              <w:rPr>
                <w:rFonts w:hint="eastAsia"/>
                <w:lang w:val="en-US" w:eastAsia="zh-CN"/>
              </w:rPr>
            </w:pPr>
            <w:r>
              <w:rPr>
                <w:rFonts w:hint="eastAsia"/>
                <w:lang w:val="en-US" w:eastAsia="zh-CN"/>
              </w:rPr>
              <w:t>抽查2020年度供应商评审情况：合格</w:t>
            </w:r>
          </w:p>
          <w:p>
            <w:pPr>
              <w:rPr>
                <w:rFonts w:hint="eastAsia"/>
                <w:lang w:val="en-US" w:eastAsia="zh-CN"/>
              </w:rPr>
            </w:pPr>
            <w:r>
              <w:rPr>
                <w:rFonts w:hint="eastAsia"/>
                <w:lang w:val="en-US" w:eastAsia="zh-CN"/>
              </w:rPr>
              <w:t>抽查采购订单：吸顶灯以及采购订单：节能灯、压力表、插座等</w:t>
            </w:r>
          </w:p>
          <w:p>
            <w:pPr>
              <w:rPr>
                <w:rFonts w:hint="default"/>
                <w:lang w:val="en-US" w:eastAsia="zh-CN"/>
              </w:rPr>
            </w:pPr>
            <w:r>
              <w:rPr>
                <w:rFonts w:hint="eastAsia"/>
                <w:lang w:val="en-US" w:eastAsia="zh-CN"/>
              </w:rPr>
              <w:t>未提出执行相关节能标准或相关推荐节能产品的要求，已与企业进行沟通。</w:t>
            </w:r>
          </w:p>
          <w:p>
            <w:pPr>
              <w:spacing w:line="240" w:lineRule="atLeast"/>
              <w:rPr>
                <w:rFonts w:ascii="宋体" w:cs="宋体"/>
                <w:szCs w:val="21"/>
              </w:rPr>
            </w:pPr>
          </w:p>
        </w:tc>
        <w:tc>
          <w:tcPr>
            <w:tcW w:w="801" w:type="dxa"/>
          </w:tcPr>
          <w:p>
            <w:pPr>
              <w:rPr>
                <w:szCs w:val="21"/>
              </w:rPr>
            </w:pPr>
          </w:p>
          <w:p>
            <w:pPr>
              <w:rPr>
                <w:szCs w:val="21"/>
              </w:rPr>
            </w:pPr>
          </w:p>
          <w:p>
            <w:pPr>
              <w:rPr>
                <w:szCs w:val="21"/>
              </w:rPr>
            </w:pPr>
          </w:p>
          <w:p>
            <w:pPr>
              <w:ind w:firstLine="210" w:firstLineChars="100"/>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2160" w:type="dxa"/>
          </w:tcPr>
          <w:p>
            <w:pPr>
              <w:rPr>
                <w:rFonts w:ascii="宋体"/>
                <w:szCs w:val="21"/>
              </w:rPr>
            </w:pPr>
            <w:r>
              <w:rPr>
                <w:rFonts w:hint="eastAsia" w:ascii="宋体" w:hAnsi="宋体"/>
                <w:szCs w:val="21"/>
              </w:rPr>
              <w:t>不符合与纠正措施</w:t>
            </w:r>
          </w:p>
        </w:tc>
        <w:tc>
          <w:tcPr>
            <w:tcW w:w="960" w:type="dxa"/>
          </w:tcPr>
          <w:p>
            <w:pPr>
              <w:rPr>
                <w:szCs w:val="21"/>
              </w:rPr>
            </w:pPr>
            <w:r>
              <w:rPr>
                <w:rFonts w:ascii="宋体" w:hAnsi="宋体"/>
                <w:szCs w:val="21"/>
              </w:rPr>
              <w:t xml:space="preserve">10.1 </w:t>
            </w:r>
          </w:p>
        </w:tc>
        <w:tc>
          <w:tcPr>
            <w:tcW w:w="10788" w:type="dxa"/>
          </w:tcPr>
          <w:p>
            <w:pPr>
              <w:spacing w:line="240" w:lineRule="atLeast"/>
              <w:rPr>
                <w:rFonts w:ascii="宋体" w:cs="宋体"/>
                <w:szCs w:val="21"/>
              </w:rPr>
            </w:pPr>
            <w:r>
              <w:rPr>
                <w:rFonts w:hint="eastAsia" w:ascii="宋体" w:hAnsi="宋体" w:cs="宋体"/>
                <w:szCs w:val="21"/>
              </w:rPr>
              <w:t>编制了《纠正措施和预防措施通知单》包括“不符合采取措施控制并纠正；任何纠正措施的结果、不符合的原因</w:t>
            </w:r>
            <w:r>
              <w:rPr>
                <w:rFonts w:ascii="宋体" w:hAnsi="宋体" w:cs="宋体"/>
                <w:szCs w:val="21"/>
              </w:rPr>
              <w:t xml:space="preserve"> </w:t>
            </w:r>
            <w:r>
              <w:rPr>
                <w:rFonts w:hint="eastAsia" w:ascii="宋体" w:hAnsi="宋体" w:cs="宋体"/>
                <w:szCs w:val="21"/>
              </w:rPr>
              <w:t>性质和采取的任何后续措施；确定是否存在或是否可能发生类似的不符合；实施任何所需的措施；评审所采取的任何纠正措施的有效性；必要时，对能源管理体系进行变更改、”等内容；</w:t>
            </w:r>
          </w:p>
          <w:p>
            <w:pPr>
              <w:spacing w:line="240" w:lineRule="atLeast"/>
              <w:rPr>
                <w:rFonts w:ascii="宋体" w:cs="宋体"/>
                <w:szCs w:val="21"/>
              </w:rPr>
            </w:pPr>
          </w:p>
          <w:p>
            <w:pPr>
              <w:rPr>
                <w:szCs w:val="21"/>
              </w:rPr>
            </w:pPr>
            <w:r>
              <w:rPr>
                <w:rFonts w:hint="eastAsia" w:ascii="宋体" w:hAnsi="宋体" w:cs="宋体"/>
                <w:szCs w:val="21"/>
              </w:rPr>
              <w:t>查内审无不符合项；</w:t>
            </w:r>
          </w:p>
        </w:tc>
        <w:tc>
          <w:tcPr>
            <w:tcW w:w="801" w:type="dxa"/>
          </w:tcPr>
          <w:p>
            <w:pPr>
              <w:rPr>
                <w:szCs w:val="21"/>
              </w:rPr>
            </w:pPr>
            <w:r>
              <w:rPr>
                <w:szCs w:val="21"/>
              </w:rPr>
              <w:t>y</w:t>
            </w:r>
          </w:p>
        </w:tc>
      </w:tr>
    </w:tbl>
    <w:p>
      <w:pPr>
        <w:pStyle w:val="7"/>
        <w:rPr>
          <w:sz w:val="21"/>
          <w:szCs w:val="21"/>
        </w:rPr>
      </w:pPr>
    </w:p>
    <w:p>
      <w:pPr>
        <w:pStyle w:val="7"/>
        <w:rPr>
          <w:sz w:val="21"/>
          <w:szCs w:val="21"/>
        </w:rPr>
      </w:pPr>
    </w:p>
    <w:p>
      <w:pPr>
        <w:pStyle w:val="7"/>
        <w:rPr>
          <w:sz w:val="21"/>
          <w:szCs w:val="21"/>
        </w:rPr>
      </w:pPr>
    </w:p>
    <w:p>
      <w:pPr>
        <w:pStyle w:val="7"/>
        <w:rPr>
          <w:sz w:val="21"/>
          <w:szCs w:val="21"/>
        </w:rPr>
      </w:pPr>
    </w:p>
    <w:p>
      <w:pPr>
        <w:pStyle w:val="7"/>
        <w:rPr>
          <w:sz w:val="21"/>
          <w:szCs w:val="21"/>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24"/>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824" w:type="dxa"/>
            <w:vAlign w:val="center"/>
          </w:tcPr>
          <w:p>
            <w:pPr>
              <w:rPr>
                <w:rFonts w:hint="eastAsia" w:eastAsia="宋体"/>
                <w:szCs w:val="21"/>
                <w:lang w:val="en-US" w:eastAsia="zh-CN"/>
              </w:rPr>
            </w:pPr>
            <w:r>
              <w:rPr>
                <w:rFonts w:hint="eastAsia"/>
                <w:szCs w:val="21"/>
              </w:rPr>
              <w:t>受审核部门：研发部</w:t>
            </w:r>
            <w:r>
              <w:rPr>
                <w:szCs w:val="21"/>
              </w:rPr>
              <w:t xml:space="preserve">   </w:t>
            </w:r>
            <w:r>
              <w:rPr>
                <w:rFonts w:hint="eastAsia"/>
                <w:szCs w:val="21"/>
                <w:lang w:val="en-US" w:eastAsia="zh-CN"/>
              </w:rPr>
              <w:t xml:space="preserve">   </w:t>
            </w:r>
            <w:r>
              <w:rPr>
                <w:szCs w:val="21"/>
              </w:rPr>
              <w:t xml:space="preserve"> </w:t>
            </w:r>
            <w:r>
              <w:rPr>
                <w:rFonts w:hint="eastAsia"/>
                <w:szCs w:val="21"/>
              </w:rPr>
              <w:t>主管领导：</w:t>
            </w:r>
            <w:r>
              <w:rPr>
                <w:rFonts w:hint="eastAsia"/>
                <w:szCs w:val="21"/>
                <w:lang w:val="en-US" w:eastAsia="zh-CN"/>
              </w:rPr>
              <w:t>王晋爱</w:t>
            </w:r>
            <w:r>
              <w:rPr>
                <w:szCs w:val="21"/>
              </w:rPr>
              <w:t xml:space="preserve">            </w:t>
            </w:r>
            <w:r>
              <w:rPr>
                <w:rFonts w:hint="eastAsia"/>
                <w:szCs w:val="21"/>
              </w:rPr>
              <w:t>陪同人员：</w:t>
            </w:r>
            <w:r>
              <w:rPr>
                <w:rFonts w:hint="eastAsia"/>
                <w:szCs w:val="21"/>
                <w:lang w:val="en-US" w:eastAsia="zh-CN"/>
              </w:rPr>
              <w:t>张成跟</w:t>
            </w:r>
          </w:p>
        </w:tc>
        <w:tc>
          <w:tcPr>
            <w:tcW w:w="76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824" w:type="dxa"/>
            <w:vAlign w:val="center"/>
          </w:tcPr>
          <w:p>
            <w:pPr>
              <w:spacing w:before="120"/>
              <w:rPr>
                <w:rFonts w:hint="eastAsia" w:eastAsia="宋体"/>
                <w:szCs w:val="21"/>
                <w:lang w:eastAsia="zh-CN"/>
              </w:rPr>
            </w:pPr>
            <w:r>
              <w:rPr>
                <w:rFonts w:hint="eastAsia"/>
                <w:szCs w:val="21"/>
              </w:rPr>
              <w:t>审核员：周涛、</w:t>
            </w:r>
            <w:r>
              <w:rPr>
                <w:szCs w:val="21"/>
              </w:rPr>
              <w:t xml:space="preserve">      </w:t>
            </w:r>
            <w:r>
              <w:rPr>
                <w:rFonts w:hint="eastAsia"/>
                <w:szCs w:val="21"/>
              </w:rPr>
              <w:t>审核时间：</w:t>
            </w:r>
            <w:r>
              <w:rPr>
                <w:szCs w:val="21"/>
              </w:rPr>
              <w:t>2021.</w:t>
            </w:r>
            <w:r>
              <w:rPr>
                <w:rFonts w:hint="eastAsia"/>
                <w:szCs w:val="21"/>
                <w:lang w:val="en-US" w:eastAsia="zh-CN"/>
              </w:rPr>
              <w:t>4</w:t>
            </w:r>
            <w:r>
              <w:rPr>
                <w:szCs w:val="21"/>
              </w:rPr>
              <w:t>.</w:t>
            </w:r>
            <w:r>
              <w:rPr>
                <w:rFonts w:hint="eastAsia"/>
                <w:szCs w:val="21"/>
                <w:lang w:val="en-US" w:eastAsia="zh-CN"/>
              </w:rPr>
              <w:t>3</w:t>
            </w:r>
          </w:p>
        </w:tc>
        <w:tc>
          <w:tcPr>
            <w:tcW w:w="76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824" w:type="dxa"/>
            <w:vAlign w:val="center"/>
          </w:tcPr>
          <w:p>
            <w:pPr>
              <w:rPr>
                <w:szCs w:val="21"/>
              </w:rPr>
            </w:pPr>
            <w:r>
              <w:rPr>
                <w:rFonts w:hint="eastAsia"/>
                <w:szCs w:val="21"/>
              </w:rPr>
              <w:t>审核条款：</w:t>
            </w:r>
            <w:r>
              <w:rPr>
                <w:rFonts w:ascii="宋体" w:hAnsi="宋体"/>
                <w:szCs w:val="21"/>
              </w:rPr>
              <w:t xml:space="preserve">5.3 </w:t>
            </w:r>
            <w:r>
              <w:rPr>
                <w:rFonts w:hint="eastAsia" w:ascii="宋体" w:hAnsi="宋体"/>
                <w:szCs w:val="21"/>
              </w:rPr>
              <w:t>组织的岗位、职责和权限、</w:t>
            </w:r>
            <w:r>
              <w:rPr>
                <w:rFonts w:ascii="宋体" w:hAnsi="宋体"/>
                <w:szCs w:val="21"/>
              </w:rPr>
              <w:t xml:space="preserve">6.2 </w:t>
            </w:r>
            <w:r>
              <w:rPr>
                <w:rFonts w:hint="eastAsia" w:ascii="宋体" w:hAnsi="宋体"/>
                <w:szCs w:val="21"/>
              </w:rPr>
              <w:t>目标、能源指及其实现的策划、</w:t>
            </w:r>
            <w:r>
              <w:rPr>
                <w:rFonts w:ascii="宋体" w:hAnsi="宋体"/>
                <w:szCs w:val="21"/>
              </w:rPr>
              <w:t xml:space="preserve">8.1 </w:t>
            </w:r>
            <w:r>
              <w:rPr>
                <w:rFonts w:hint="eastAsia" w:ascii="宋体" w:hAnsi="宋体"/>
                <w:szCs w:val="21"/>
              </w:rPr>
              <w:t>运行的策划和控制、</w:t>
            </w:r>
            <w:r>
              <w:rPr>
                <w:rFonts w:ascii="宋体" w:hAnsi="宋体"/>
                <w:szCs w:val="21"/>
              </w:rPr>
              <w:t>8.2</w:t>
            </w:r>
            <w:r>
              <w:rPr>
                <w:rFonts w:hint="eastAsia" w:ascii="宋体" w:hAnsi="宋体"/>
                <w:szCs w:val="21"/>
              </w:rPr>
              <w:t>设计、</w:t>
            </w:r>
            <w:r>
              <w:rPr>
                <w:rFonts w:ascii="宋体" w:hAnsi="宋体"/>
                <w:szCs w:val="21"/>
              </w:rPr>
              <w:t xml:space="preserve">10.1 </w:t>
            </w:r>
            <w:r>
              <w:rPr>
                <w:rFonts w:hint="eastAsia" w:ascii="宋体" w:hAnsi="宋体"/>
                <w:szCs w:val="21"/>
              </w:rPr>
              <w:t>不符合与纠正措施</w:t>
            </w:r>
          </w:p>
        </w:tc>
        <w:tc>
          <w:tcPr>
            <w:tcW w:w="76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szCs w:val="21"/>
              </w:rPr>
            </w:pPr>
            <w:r>
              <w:rPr>
                <w:rFonts w:hint="eastAsia" w:ascii="宋体" w:hAnsi="宋体"/>
                <w:szCs w:val="21"/>
              </w:rPr>
              <w:t>组织的岗位、职责和权限、</w:t>
            </w:r>
          </w:p>
        </w:tc>
        <w:tc>
          <w:tcPr>
            <w:tcW w:w="960" w:type="dxa"/>
          </w:tcPr>
          <w:p>
            <w:pPr>
              <w:rPr>
                <w:szCs w:val="21"/>
              </w:rPr>
            </w:pPr>
            <w:r>
              <w:rPr>
                <w:rFonts w:ascii="宋体" w:hAnsi="宋体"/>
                <w:szCs w:val="21"/>
              </w:rPr>
              <w:t xml:space="preserve">5.3 </w:t>
            </w:r>
          </w:p>
        </w:tc>
        <w:tc>
          <w:tcPr>
            <w:tcW w:w="10824" w:type="dxa"/>
          </w:tcPr>
          <w:p>
            <w:pPr>
              <w:rPr>
                <w:rFonts w:ascii="宋体"/>
                <w:szCs w:val="21"/>
              </w:rPr>
            </w:pPr>
            <w:r>
              <w:rPr>
                <w:rFonts w:hint="eastAsia" w:ascii="宋体" w:hAnsi="宋体"/>
                <w:szCs w:val="21"/>
              </w:rPr>
              <w:t>负责人：李克忠</w:t>
            </w:r>
          </w:p>
          <w:p>
            <w:pPr>
              <w:pStyle w:val="3"/>
              <w:rPr>
                <w:sz w:val="21"/>
                <w:szCs w:val="21"/>
              </w:rPr>
            </w:pPr>
            <w:r>
              <w:rPr>
                <w:rFonts w:hint="eastAsia" w:ascii="宋体" w:hAnsi="宋体"/>
                <w:sz w:val="21"/>
                <w:szCs w:val="21"/>
              </w:rPr>
              <w:t>技术研发部职责：</w:t>
            </w:r>
          </w:p>
          <w:p>
            <w:pPr>
              <w:rPr>
                <w:rFonts w:ascii="宋体"/>
                <w:szCs w:val="21"/>
              </w:rPr>
            </w:pPr>
            <w:r>
              <w:rPr>
                <w:rFonts w:ascii="宋体" w:hAnsi="宋体"/>
                <w:szCs w:val="21"/>
              </w:rPr>
              <w:t>1</w:t>
            </w:r>
            <w:r>
              <w:rPr>
                <w:rFonts w:hint="eastAsia" w:ascii="宋体" w:hAnsi="宋体"/>
                <w:szCs w:val="21"/>
              </w:rPr>
              <w:t>、负责节能新技术和方法、新能源和可再生能源技术的推广和应用；</w:t>
            </w:r>
          </w:p>
          <w:p>
            <w:pPr>
              <w:rPr>
                <w:rFonts w:ascii="宋体"/>
                <w:szCs w:val="21"/>
              </w:rPr>
            </w:pPr>
          </w:p>
        </w:tc>
        <w:tc>
          <w:tcPr>
            <w:tcW w:w="765" w:type="dxa"/>
          </w:tcPr>
          <w:p>
            <w:pPr>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szCs w:val="21"/>
              </w:rPr>
            </w:pPr>
            <w:r>
              <w:rPr>
                <w:rFonts w:hint="eastAsia" w:ascii="宋体" w:hAnsi="宋体"/>
                <w:szCs w:val="21"/>
              </w:rPr>
              <w:t>目标、能源指及其实现的策划、</w:t>
            </w:r>
          </w:p>
        </w:tc>
        <w:tc>
          <w:tcPr>
            <w:tcW w:w="960" w:type="dxa"/>
          </w:tcPr>
          <w:p>
            <w:pPr>
              <w:rPr>
                <w:szCs w:val="21"/>
              </w:rPr>
            </w:pPr>
            <w:r>
              <w:rPr>
                <w:rFonts w:ascii="宋体" w:hAnsi="宋体"/>
                <w:szCs w:val="21"/>
              </w:rPr>
              <w:t xml:space="preserve">6.2 </w:t>
            </w:r>
          </w:p>
        </w:tc>
        <w:tc>
          <w:tcPr>
            <w:tcW w:w="10824" w:type="dxa"/>
          </w:tcPr>
          <w:p>
            <w:pPr>
              <w:rPr>
                <w:rFonts w:ascii="宋体" w:cs="宋体"/>
                <w:szCs w:val="21"/>
              </w:rPr>
            </w:pPr>
            <w:r>
              <w:rPr>
                <w:rFonts w:hint="eastAsia" w:ascii="宋体" w:hAnsi="宋体" w:cs="宋体"/>
                <w:szCs w:val="21"/>
              </w:rPr>
              <w:t>编制了文件化的《管理目标、指标分解（</w:t>
            </w:r>
            <w:r>
              <w:rPr>
                <w:rFonts w:ascii="宋体" w:hAnsi="宋体" w:cs="宋体"/>
                <w:szCs w:val="21"/>
              </w:rPr>
              <w:t>7</w:t>
            </w:r>
            <w:r>
              <w:rPr>
                <w:rFonts w:hint="eastAsia" w:ascii="宋体" w:hAnsi="宋体" w:cs="宋体"/>
                <w:szCs w:val="21"/>
              </w:rPr>
              <w:t>月</w:t>
            </w:r>
            <w:r>
              <w:rPr>
                <w:rFonts w:ascii="宋体" w:hAnsi="宋体" w:cs="宋体"/>
                <w:szCs w:val="21"/>
              </w:rPr>
              <w:t>—12</w:t>
            </w:r>
            <w:r>
              <w:rPr>
                <w:rFonts w:hint="eastAsia" w:ascii="宋体" w:hAnsi="宋体" w:cs="宋体"/>
                <w:szCs w:val="21"/>
              </w:rPr>
              <w:t>月）》目标指标““</w:t>
            </w:r>
            <w:r>
              <w:rPr>
                <w:rFonts w:hint="eastAsia" w:ascii="宋体" w:hAnsi="宋体" w:cs="宋体"/>
                <w:szCs w:val="21"/>
                <w:lang w:val="en-US" w:eastAsia="zh-CN"/>
              </w:rPr>
              <w:t>每月耗电不超过1250KWh</w:t>
            </w:r>
            <w:r>
              <w:rPr>
                <w:rFonts w:hint="eastAsia" w:ascii="宋体" w:hAnsi="宋体" w:cs="宋体"/>
                <w:szCs w:val="21"/>
              </w:rPr>
              <w:t>””</w:t>
            </w:r>
            <w:r>
              <w:rPr>
                <w:rFonts w:ascii="宋体" w:hAnsi="宋体" w:cs="宋体"/>
                <w:szCs w:val="21"/>
              </w:rPr>
              <w:t>——</w:t>
            </w:r>
            <w:r>
              <w:rPr>
                <w:rFonts w:hint="eastAsia" w:ascii="宋体" w:hAnsi="宋体" w:cs="宋体"/>
                <w:szCs w:val="21"/>
              </w:rPr>
              <w:t>查基本结合了实际情况；</w:t>
            </w:r>
          </w:p>
          <w:p>
            <w:pPr>
              <w:rPr>
                <w:rFonts w:ascii="宋体" w:cs="宋体"/>
                <w:szCs w:val="21"/>
              </w:rPr>
            </w:pPr>
            <w:r>
              <w:rPr>
                <w:rFonts w:hint="eastAsia" w:ascii="宋体" w:hAnsi="宋体" w:cs="宋体"/>
                <w:szCs w:val="21"/>
              </w:rPr>
              <w:t>提供《能源管理方案》</w:t>
            </w:r>
            <w:r>
              <w:rPr>
                <w:rFonts w:ascii="宋体" w:hAnsi="宋体" w:cs="宋体"/>
                <w:szCs w:val="21"/>
              </w:rPr>
              <w:t>6</w:t>
            </w:r>
            <w:r>
              <w:rPr>
                <w:rFonts w:hint="eastAsia" w:ascii="宋体" w:hAnsi="宋体" w:cs="宋体"/>
                <w:szCs w:val="21"/>
              </w:rPr>
              <w:t>条、规定了职责和权限、采取的技术方法、施工方法和实施过程中应注意问题；确定需要的资源（人力物力财力）、时间进度表、验证能源绩效改进过程的方法；具体“建设能源管理数据平台，完善计量仪表，准确计量用能情况；变频、定频水泵的切换应考虑设备的负荷，在负荷较低的工况下计量使用变频水泵，满负荷的情况下使用定频水泵，提升变频水泵实际的使用节能效果；更换</w:t>
            </w:r>
            <w:r>
              <w:rPr>
                <w:rFonts w:ascii="宋体" w:hAnsi="宋体" w:cs="宋体"/>
                <w:szCs w:val="21"/>
              </w:rPr>
              <w:t>LED</w:t>
            </w:r>
            <w:r>
              <w:rPr>
                <w:rFonts w:hint="eastAsia" w:ascii="宋体" w:hAnsi="宋体" w:cs="宋体"/>
                <w:szCs w:val="21"/>
              </w:rPr>
              <w:t>灯具”</w:t>
            </w:r>
            <w:r>
              <w:rPr>
                <w:rFonts w:ascii="宋体" w:hAnsi="宋体" w:cs="宋体"/>
                <w:szCs w:val="21"/>
              </w:rPr>
              <w:t xml:space="preserve"> </w:t>
            </w:r>
            <w:r>
              <w:rPr>
                <w:rFonts w:hint="eastAsia" w:ascii="宋体" w:hAnsi="宋体" w:cs="宋体"/>
                <w:szCs w:val="21"/>
              </w:rPr>
              <w:t>等；</w:t>
            </w:r>
          </w:p>
          <w:p>
            <w:pPr>
              <w:rPr>
                <w:rFonts w:ascii="宋体" w:cs="宋体"/>
                <w:szCs w:val="21"/>
              </w:rPr>
            </w:pPr>
            <w:r>
              <w:rPr>
                <w:rFonts w:ascii="宋体" w:hAnsi="宋体" w:cs="宋体"/>
                <w:szCs w:val="21"/>
              </w:rPr>
              <w:t>——</w:t>
            </w:r>
            <w:r>
              <w:rPr>
                <w:rFonts w:hint="eastAsia" w:ascii="宋体" w:hAnsi="宋体" w:cs="宋体"/>
                <w:szCs w:val="21"/>
              </w:rPr>
              <w:t>查基本符合实际情况；</w:t>
            </w:r>
          </w:p>
          <w:p>
            <w:pPr>
              <w:rPr>
                <w:szCs w:val="21"/>
              </w:rPr>
            </w:pPr>
            <w:r>
              <w:rPr>
                <w:rFonts w:hint="eastAsia" w:ascii="宋体" w:hAnsi="宋体" w:cs="宋体"/>
                <w:szCs w:val="21"/>
              </w:rPr>
              <w:t>另查</w:t>
            </w:r>
            <w:r>
              <w:rPr>
                <w:rFonts w:ascii="宋体" w:hAnsi="宋体" w:cs="宋体"/>
                <w:szCs w:val="21"/>
              </w:rPr>
              <w:t>2020</w:t>
            </w:r>
            <w:r>
              <w:rPr>
                <w:rFonts w:hint="eastAsia" w:ascii="宋体" w:hAnsi="宋体" w:cs="宋体"/>
                <w:szCs w:val="21"/>
              </w:rPr>
              <w:t>年以来目标指标基本达标；</w:t>
            </w:r>
          </w:p>
        </w:tc>
        <w:tc>
          <w:tcPr>
            <w:tcW w:w="765" w:type="dxa"/>
          </w:tcPr>
          <w:p/>
          <w:p>
            <w:pPr>
              <w:pStyle w:val="3"/>
              <w:rPr>
                <w:szCs w:val="21"/>
              </w:rPr>
            </w:pPr>
          </w:p>
          <w:p>
            <w:pPr>
              <w:pStyle w:val="3"/>
              <w:rPr>
                <w:szCs w:val="21"/>
              </w:rPr>
            </w:pPr>
          </w:p>
          <w:p>
            <w:pPr>
              <w:pStyle w:val="3"/>
              <w:rPr>
                <w:szCs w:val="21"/>
              </w:rPr>
            </w:pPr>
          </w:p>
          <w:p>
            <w:pPr>
              <w:pStyle w:val="3"/>
              <w:rPr>
                <w:rFonts w:hint="default" w:eastAsia="宋体"/>
                <w:szCs w:val="21"/>
                <w:lang w:val="en-US" w:eastAsia="zh-CN"/>
              </w:rPr>
            </w:pPr>
            <w:r>
              <w:rPr>
                <w:rFonts w:hint="eastAsia"/>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szCs w:val="21"/>
              </w:rPr>
            </w:pPr>
            <w:r>
              <w:rPr>
                <w:rFonts w:hint="eastAsia" w:ascii="宋体" w:hAnsi="宋体"/>
                <w:szCs w:val="21"/>
              </w:rPr>
              <w:t>运行的策划和控制、</w:t>
            </w:r>
          </w:p>
        </w:tc>
        <w:tc>
          <w:tcPr>
            <w:tcW w:w="960" w:type="dxa"/>
          </w:tcPr>
          <w:p>
            <w:pPr>
              <w:rPr>
                <w:rFonts w:ascii="宋体"/>
                <w:szCs w:val="21"/>
              </w:rPr>
            </w:pPr>
            <w:r>
              <w:rPr>
                <w:rFonts w:ascii="宋体" w:hAnsi="宋体"/>
                <w:szCs w:val="21"/>
              </w:rPr>
              <w:t xml:space="preserve">8.1 </w:t>
            </w:r>
          </w:p>
        </w:tc>
        <w:tc>
          <w:tcPr>
            <w:tcW w:w="10824" w:type="dxa"/>
          </w:tcPr>
          <w:p>
            <w:pPr>
              <w:rPr>
                <w:rFonts w:ascii="宋体" w:cs="宋体"/>
                <w:szCs w:val="21"/>
              </w:rPr>
            </w:pPr>
            <w:r>
              <w:rPr>
                <w:rFonts w:hint="eastAsia" w:ascii="宋体" w:hAnsi="宋体" w:cs="宋体"/>
                <w:szCs w:val="21"/>
              </w:rPr>
              <w:t>编制了《能源管理制度汇编》包括“物业办公水电节能规定、环境节能降耗规定等”；另编制了适用的能源相关制度规定包括“节约用电管理制度、节约用水管理制度、公务用车节油和维修管理制度、办公用品的采购管理、办公用品的保管、办公用品的领取管理、办公用品的使用管理、能耗统计制度、合同能耗管理制度、节能工作奖惩制度”；</w:t>
            </w:r>
          </w:p>
          <w:p>
            <w:pPr>
              <w:rPr>
                <w:rFonts w:ascii="宋体" w:cs="宋体"/>
                <w:szCs w:val="21"/>
              </w:rPr>
            </w:pPr>
          </w:p>
          <w:p>
            <w:pPr>
              <w:rPr>
                <w:rFonts w:ascii="宋体" w:cs="宋体"/>
                <w:szCs w:val="21"/>
              </w:rPr>
            </w:pPr>
            <w:r>
              <w:rPr>
                <w:rFonts w:hint="eastAsia" w:ascii="宋体" w:hAnsi="宋体" w:cs="宋体"/>
                <w:szCs w:val="21"/>
              </w:rPr>
              <w:t>公司领导亲自主抓节能降耗工作，始终把节能工作放在第一位，使节能降耗工作逐步得到提高。项目部应对公司服务合理调度，对一些重大耗电设备应尽量使其集中服务，提高负载率，降低其单位电耗，提高经济效益。项目部员工应全面做好节水工作，发现管道水龙头有损坏漏水，应及时维修，杜绝跑冒滴漏现象。</w:t>
            </w:r>
          </w:p>
          <w:p>
            <w:pPr>
              <w:rPr>
                <w:rFonts w:ascii="宋体" w:cs="宋体"/>
                <w:szCs w:val="21"/>
              </w:rPr>
            </w:pPr>
            <w:r>
              <w:rPr>
                <w:rFonts w:hint="eastAsia" w:ascii="宋体" w:hAnsi="宋体" w:cs="宋体"/>
                <w:szCs w:val="21"/>
              </w:rPr>
              <w:t>杜绝长明灯和长流水，做到人走灯灭，人去水停。</w:t>
            </w:r>
          </w:p>
          <w:p>
            <w:pPr>
              <w:rPr>
                <w:rFonts w:ascii="宋体" w:cs="宋体"/>
                <w:szCs w:val="21"/>
              </w:rPr>
            </w:pPr>
          </w:p>
          <w:p>
            <w:pPr>
              <w:rPr>
                <w:rFonts w:ascii="宋体" w:cs="宋体"/>
                <w:szCs w:val="21"/>
              </w:rPr>
            </w:pPr>
            <w:r>
              <w:rPr>
                <w:rFonts w:hint="eastAsia" w:ascii="宋体" w:hAnsi="宋体" w:cs="宋体"/>
                <w:szCs w:val="21"/>
              </w:rPr>
              <w:t>空调夏季温度控制在</w:t>
            </w:r>
            <w:r>
              <w:rPr>
                <w:rFonts w:ascii="宋体" w:hAnsi="宋体" w:cs="宋体"/>
                <w:szCs w:val="21"/>
              </w:rPr>
              <w:t>26</w:t>
            </w:r>
            <w:r>
              <w:rPr>
                <w:rFonts w:hint="eastAsia" w:ascii="宋体" w:hAnsi="宋体" w:cs="宋体"/>
                <w:szCs w:val="21"/>
              </w:rPr>
              <w:t>℃、尽量做到人走关机、节约用能；</w:t>
            </w:r>
          </w:p>
          <w:p>
            <w:pPr>
              <w:rPr>
                <w:szCs w:val="21"/>
              </w:rPr>
            </w:pPr>
          </w:p>
        </w:tc>
        <w:tc>
          <w:tcPr>
            <w:tcW w:w="765" w:type="dxa"/>
          </w:tcPr>
          <w:p/>
          <w:p>
            <w:pPr>
              <w:pStyle w:val="3"/>
              <w:rPr>
                <w:szCs w:val="21"/>
              </w:rPr>
            </w:pPr>
          </w:p>
          <w:p>
            <w:pPr>
              <w:pStyle w:val="3"/>
              <w:rPr>
                <w:szCs w:val="21"/>
              </w:rPr>
            </w:pPr>
          </w:p>
          <w:p>
            <w:pPr>
              <w:pStyle w:val="3"/>
              <w:rPr>
                <w:szCs w:val="21"/>
              </w:rPr>
            </w:pPr>
          </w:p>
          <w:p>
            <w:pPr>
              <w:pStyle w:val="3"/>
              <w:rPr>
                <w:szCs w:val="21"/>
              </w:rPr>
            </w:pPr>
          </w:p>
          <w:p>
            <w:pPr>
              <w:pStyle w:val="3"/>
              <w:rPr>
                <w:rFonts w:hint="default" w:eastAsia="宋体"/>
                <w:szCs w:val="21"/>
                <w:lang w:val="en-US" w:eastAsia="zh-CN"/>
              </w:rPr>
            </w:pPr>
            <w:r>
              <w:rPr>
                <w:rFonts w:hint="eastAsia"/>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2160" w:type="dxa"/>
          </w:tcPr>
          <w:p>
            <w:pPr>
              <w:rPr>
                <w:rFonts w:ascii="宋体"/>
                <w:szCs w:val="21"/>
              </w:rPr>
            </w:pPr>
            <w:r>
              <w:rPr>
                <w:rFonts w:hint="eastAsia" w:ascii="宋体" w:hAnsi="宋体"/>
                <w:szCs w:val="21"/>
              </w:rPr>
              <w:t>设计、</w:t>
            </w:r>
          </w:p>
        </w:tc>
        <w:tc>
          <w:tcPr>
            <w:tcW w:w="960" w:type="dxa"/>
          </w:tcPr>
          <w:p>
            <w:pPr>
              <w:rPr>
                <w:rFonts w:ascii="宋体"/>
                <w:szCs w:val="21"/>
              </w:rPr>
            </w:pPr>
            <w:r>
              <w:rPr>
                <w:rFonts w:ascii="宋体" w:hAnsi="宋体"/>
                <w:szCs w:val="21"/>
              </w:rPr>
              <w:t>8.2</w:t>
            </w:r>
          </w:p>
        </w:tc>
        <w:tc>
          <w:tcPr>
            <w:tcW w:w="10824" w:type="dxa"/>
          </w:tcPr>
          <w:p>
            <w:pPr>
              <w:rPr>
                <w:szCs w:val="21"/>
              </w:rPr>
            </w:pPr>
            <w:r>
              <w:rPr>
                <w:rFonts w:hint="eastAsia"/>
                <w:szCs w:val="21"/>
              </w:rPr>
              <w:t>制定并执行《设计控制程序》，考虑能源性能改进机会和在设计新的、改进的和翻新的设施、设备、系统和能源使用过程时的操作控制，这些过程在计划或预期的使用寿命内可能对其能源性能产生重大影响。</w:t>
            </w:r>
          </w:p>
          <w:p>
            <w:pPr>
              <w:rPr>
                <w:szCs w:val="21"/>
              </w:rPr>
            </w:pPr>
            <w:r>
              <w:rPr>
                <w:rFonts w:hint="eastAsia"/>
                <w:szCs w:val="21"/>
              </w:rPr>
              <w:t>在适用的情况下，能源性能考虑的结果应纳入规范、设计和采购活动。</w:t>
            </w:r>
          </w:p>
          <w:p>
            <w:pPr>
              <w:rPr>
                <w:rFonts w:hint="default"/>
                <w:lang w:val="en-US" w:eastAsia="zh-CN"/>
              </w:rPr>
            </w:pPr>
            <w:r>
              <w:rPr>
                <w:rFonts w:hint="eastAsia"/>
                <w:lang w:val="en-US" w:eastAsia="zh-CN"/>
              </w:rPr>
              <w:t>设计研发项目过程分为：小试——中试——批量生产</w:t>
            </w:r>
          </w:p>
          <w:p>
            <w:pPr>
              <w:rPr>
                <w:rFonts w:hint="eastAsia"/>
                <w:lang w:val="en-US" w:eastAsia="zh-CN"/>
              </w:rPr>
            </w:pPr>
            <w:r>
              <w:rPr>
                <w:rFonts w:hint="eastAsia"/>
                <w:lang w:val="en-US" w:eastAsia="zh-CN"/>
              </w:rPr>
              <w:t>抽查：项目可行性报告，包括：项目主要内容、目的意义、国内外发展趋势、项目可行性论证、拟解决的关键技术问题及前期工作基础、风险评估（技术风险、知识产权风险、市场风险、其他风险）与规避措施、项目实施计划、方案、人员组成、工作进度、预期成果等。</w:t>
            </w:r>
          </w:p>
          <w:p>
            <w:pPr>
              <w:rPr>
                <w:rFonts w:hint="eastAsia"/>
                <w:lang w:val="en-US" w:eastAsia="zh-CN"/>
              </w:rPr>
            </w:pPr>
            <w:r>
              <w:rPr>
                <w:rFonts w:hint="eastAsia"/>
                <w:lang w:val="en-US" w:eastAsia="zh-CN"/>
              </w:rPr>
              <w:t>提供：项目阶段评审表，评审项目中包括了符合HSE要求，符合相关法律法规，建议增加节能的要求，已与企业进行沟通。</w:t>
            </w:r>
          </w:p>
          <w:p>
            <w:pPr>
              <w:rPr>
                <w:rFonts w:hint="default"/>
                <w:lang w:val="en-US" w:eastAsia="zh-CN"/>
              </w:rPr>
            </w:pPr>
            <w:r>
              <w:rPr>
                <w:rFonts w:hint="eastAsia"/>
                <w:lang w:val="en-US" w:eastAsia="zh-CN"/>
              </w:rPr>
              <w:t>抽查：项目小试阶段总结包括：基本配方的设计和确定、工艺的确定、小试产品测试和客户使用情况等内容。</w:t>
            </w:r>
          </w:p>
          <w:p>
            <w:pPr>
              <w:rPr>
                <w:rFonts w:hint="eastAsia"/>
                <w:lang w:val="en-US" w:eastAsia="zh-CN"/>
              </w:rPr>
            </w:pPr>
            <w:r>
              <w:rPr>
                <w:rFonts w:hint="eastAsia"/>
                <w:lang w:val="en-US" w:eastAsia="zh-CN"/>
              </w:rPr>
              <w:t>提供“中试申请表”，目前正在进行，直至后续量产及验收。</w:t>
            </w:r>
          </w:p>
          <w:p>
            <w:pPr>
              <w:rPr>
                <w:szCs w:val="21"/>
              </w:rPr>
            </w:pPr>
            <w:r>
              <w:rPr>
                <w:rFonts w:hint="eastAsia"/>
                <w:lang w:val="en-US" w:eastAsia="zh-CN"/>
              </w:rPr>
              <w:t>基本符合要求。</w:t>
            </w:r>
          </w:p>
        </w:tc>
        <w:tc>
          <w:tcPr>
            <w:tcW w:w="765" w:type="dxa"/>
          </w:tcPr>
          <w:p>
            <w:pPr>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rPr>
                <w:rFonts w:ascii="宋体"/>
                <w:szCs w:val="21"/>
              </w:rPr>
            </w:pPr>
            <w:r>
              <w:rPr>
                <w:rFonts w:hint="eastAsia" w:ascii="宋体" w:hAnsi="宋体"/>
                <w:szCs w:val="21"/>
              </w:rPr>
              <w:t>不符合与纠正措施</w:t>
            </w:r>
          </w:p>
        </w:tc>
        <w:tc>
          <w:tcPr>
            <w:tcW w:w="960" w:type="dxa"/>
          </w:tcPr>
          <w:p>
            <w:pPr>
              <w:rPr>
                <w:rFonts w:ascii="宋体"/>
                <w:szCs w:val="21"/>
              </w:rPr>
            </w:pPr>
            <w:r>
              <w:rPr>
                <w:rFonts w:ascii="宋体" w:hAnsi="宋体"/>
                <w:szCs w:val="21"/>
              </w:rPr>
              <w:t xml:space="preserve">10.1 </w:t>
            </w:r>
          </w:p>
        </w:tc>
        <w:tc>
          <w:tcPr>
            <w:tcW w:w="10824" w:type="dxa"/>
          </w:tcPr>
          <w:p>
            <w:pPr>
              <w:rPr>
                <w:szCs w:val="21"/>
              </w:rPr>
            </w:pPr>
            <w:r>
              <w:rPr>
                <w:rFonts w:hint="eastAsia"/>
                <w:szCs w:val="21"/>
              </w:rPr>
              <w:t>制定并实施《不符合及纠正措施控制程序》，当发现不符合项时，应</w:t>
            </w:r>
            <w:r>
              <w:rPr>
                <w:szCs w:val="21"/>
              </w:rPr>
              <w:t>:</w:t>
            </w:r>
          </w:p>
          <w:p>
            <w:pPr>
              <w:rPr>
                <w:szCs w:val="21"/>
              </w:rPr>
            </w:pPr>
            <w:r>
              <w:rPr>
                <w:szCs w:val="21"/>
              </w:rPr>
              <w:t>a)</w:t>
            </w:r>
            <w:r>
              <w:rPr>
                <w:rFonts w:hint="eastAsia"/>
                <w:szCs w:val="21"/>
              </w:rPr>
              <w:t>对不符合项作出反应，并在适用时</w:t>
            </w:r>
            <w:r>
              <w:rPr>
                <w:szCs w:val="21"/>
              </w:rPr>
              <w:t>:</w:t>
            </w:r>
          </w:p>
          <w:p>
            <w:pPr>
              <w:rPr>
                <w:szCs w:val="21"/>
              </w:rPr>
            </w:pPr>
            <w:r>
              <w:rPr>
                <w:szCs w:val="21"/>
              </w:rPr>
              <w:t>1)</w:t>
            </w:r>
            <w:r>
              <w:rPr>
                <w:rFonts w:hint="eastAsia"/>
                <w:szCs w:val="21"/>
              </w:rPr>
              <w:t>采取行动控制和纠正</w:t>
            </w:r>
            <w:r>
              <w:rPr>
                <w:szCs w:val="21"/>
              </w:rPr>
              <w:t>;2)</w:t>
            </w:r>
            <w:r>
              <w:rPr>
                <w:rFonts w:hint="eastAsia"/>
                <w:szCs w:val="21"/>
              </w:rPr>
              <w:t>处理后果</w:t>
            </w:r>
            <w:r>
              <w:rPr>
                <w:szCs w:val="21"/>
              </w:rPr>
              <w:t>;</w:t>
            </w:r>
          </w:p>
          <w:p>
            <w:pPr>
              <w:rPr>
                <w:szCs w:val="21"/>
              </w:rPr>
            </w:pPr>
            <w:r>
              <w:rPr>
                <w:szCs w:val="21"/>
              </w:rPr>
              <w:t>b)</w:t>
            </w:r>
            <w:r>
              <w:rPr>
                <w:rFonts w:hint="eastAsia"/>
                <w:szCs w:val="21"/>
              </w:rPr>
              <w:t>评估采取行动消除不合格原因的必要性，以使不合格事件不再发生或在其他地方发生，方法如下</w:t>
            </w:r>
            <w:r>
              <w:rPr>
                <w:szCs w:val="21"/>
              </w:rPr>
              <w:t>:</w:t>
            </w:r>
          </w:p>
          <w:p>
            <w:pPr>
              <w:rPr>
                <w:szCs w:val="21"/>
              </w:rPr>
            </w:pPr>
            <w:r>
              <w:rPr>
                <w:szCs w:val="21"/>
              </w:rPr>
              <w:t>1)</w:t>
            </w:r>
            <w:r>
              <w:rPr>
                <w:rFonts w:hint="eastAsia"/>
                <w:szCs w:val="21"/>
              </w:rPr>
              <w:t>评审不合格</w:t>
            </w:r>
            <w:r>
              <w:rPr>
                <w:szCs w:val="21"/>
              </w:rPr>
              <w:t>;2)</w:t>
            </w:r>
            <w:r>
              <w:rPr>
                <w:rFonts w:hint="eastAsia"/>
                <w:szCs w:val="21"/>
              </w:rPr>
              <w:t>不合格原因的确定</w:t>
            </w:r>
            <w:r>
              <w:rPr>
                <w:szCs w:val="21"/>
              </w:rPr>
              <w:t>;3</w:t>
            </w:r>
            <w:r>
              <w:rPr>
                <w:rFonts w:hint="eastAsia"/>
                <w:szCs w:val="21"/>
              </w:rPr>
              <w:t>〕确定类似不符合存在</w:t>
            </w:r>
            <w:r>
              <w:rPr>
                <w:szCs w:val="21"/>
              </w:rPr>
              <w:t>,</w:t>
            </w:r>
            <w:r>
              <w:rPr>
                <w:rFonts w:hint="eastAsia"/>
                <w:szCs w:val="21"/>
              </w:rPr>
              <w:t>或可能发生</w:t>
            </w:r>
            <w:r>
              <w:rPr>
                <w:szCs w:val="21"/>
              </w:rPr>
              <w:t>;</w:t>
            </w:r>
          </w:p>
          <w:p>
            <w:pPr>
              <w:rPr>
                <w:szCs w:val="21"/>
              </w:rPr>
            </w:pPr>
            <w:r>
              <w:rPr>
                <w:szCs w:val="21"/>
              </w:rPr>
              <w:t>c)</w:t>
            </w:r>
            <w:r>
              <w:rPr>
                <w:rFonts w:hint="eastAsia"/>
                <w:szCs w:val="21"/>
              </w:rPr>
              <w:t>执行所需的任何行动</w:t>
            </w:r>
            <w:r>
              <w:rPr>
                <w:szCs w:val="21"/>
              </w:rPr>
              <w:t>;</w:t>
            </w:r>
          </w:p>
          <w:p>
            <w:pPr>
              <w:rPr>
                <w:szCs w:val="21"/>
              </w:rPr>
            </w:pPr>
            <w:r>
              <w:rPr>
                <w:szCs w:val="21"/>
              </w:rPr>
              <w:t>d)</w:t>
            </w:r>
            <w:r>
              <w:rPr>
                <w:rFonts w:hint="eastAsia"/>
                <w:szCs w:val="21"/>
              </w:rPr>
              <w:t>审查任何纠正措施的有效性</w:t>
            </w:r>
            <w:r>
              <w:rPr>
                <w:szCs w:val="21"/>
              </w:rPr>
              <w:t>;</w:t>
            </w:r>
          </w:p>
          <w:p>
            <w:pPr>
              <w:rPr>
                <w:szCs w:val="21"/>
              </w:rPr>
            </w:pPr>
            <w:r>
              <w:rPr>
                <w:szCs w:val="21"/>
              </w:rPr>
              <w:t>e)</w:t>
            </w:r>
            <w:r>
              <w:rPr>
                <w:rFonts w:hint="eastAsia"/>
                <w:szCs w:val="21"/>
              </w:rPr>
              <w:t>必要时对</w:t>
            </w:r>
            <w:r>
              <w:rPr>
                <w:szCs w:val="21"/>
              </w:rPr>
              <w:t>EnMS</w:t>
            </w:r>
            <w:r>
              <w:rPr>
                <w:rFonts w:hint="eastAsia"/>
                <w:szCs w:val="21"/>
              </w:rPr>
              <w:t>进行更改。</w:t>
            </w:r>
          </w:p>
          <w:p>
            <w:pPr>
              <w:rPr>
                <w:szCs w:val="21"/>
              </w:rPr>
            </w:pPr>
            <w:r>
              <w:rPr>
                <w:rFonts w:hint="eastAsia"/>
                <w:szCs w:val="21"/>
              </w:rPr>
              <w:t>纠正措施应与所遇到的不合格的影响相适应。应保留以下文件资料</w:t>
            </w:r>
            <w:r>
              <w:rPr>
                <w:szCs w:val="21"/>
              </w:rPr>
              <w:t>:</w:t>
            </w:r>
          </w:p>
        </w:tc>
        <w:tc>
          <w:tcPr>
            <w:tcW w:w="765" w:type="dxa"/>
          </w:tcPr>
          <w:p>
            <w:pPr>
              <w:rPr>
                <w:szCs w:val="21"/>
              </w:rPr>
            </w:pPr>
          </w:p>
          <w:p>
            <w:pPr>
              <w:rPr>
                <w:szCs w:val="21"/>
              </w:rPr>
            </w:pPr>
          </w:p>
          <w:p>
            <w:pPr>
              <w:rPr>
                <w:szCs w:val="21"/>
              </w:rPr>
            </w:pPr>
          </w:p>
          <w:p>
            <w:pPr>
              <w:rPr>
                <w:szCs w:val="21"/>
              </w:rPr>
            </w:pPr>
          </w:p>
          <w:p>
            <w:pPr>
              <w:ind w:firstLine="210" w:firstLineChars="100"/>
              <w:rPr>
                <w:szCs w:val="21"/>
              </w:rPr>
            </w:pPr>
            <w:r>
              <w:rPr>
                <w:szCs w:val="21"/>
              </w:rPr>
              <w:t>y</w:t>
            </w:r>
          </w:p>
        </w:tc>
      </w:tr>
    </w:tbl>
    <w:p>
      <w:pPr>
        <w:pStyle w:val="7"/>
        <w:rPr>
          <w:sz w:val="21"/>
          <w:szCs w:val="21"/>
        </w:rPr>
      </w:pPr>
    </w:p>
    <w:p>
      <w:pPr>
        <w:pStyle w:val="7"/>
        <w:rPr>
          <w:sz w:val="21"/>
          <w:szCs w:val="21"/>
        </w:rPr>
      </w:pPr>
    </w:p>
    <w:p>
      <w:pPr>
        <w:pStyle w:val="7"/>
        <w:rPr>
          <w:sz w:val="21"/>
          <w:szCs w:val="21"/>
        </w:rPr>
      </w:pPr>
    </w:p>
    <w:p>
      <w:pPr>
        <w:pStyle w:val="7"/>
        <w:rPr>
          <w:sz w:val="21"/>
          <w:szCs w:val="21"/>
        </w:rPr>
      </w:pPr>
    </w:p>
    <w:p>
      <w:pPr>
        <w:pStyle w:val="7"/>
        <w:rPr>
          <w:sz w:val="21"/>
          <w:szCs w:val="21"/>
        </w:rPr>
      </w:pPr>
    </w:p>
    <w:p>
      <w:pPr>
        <w:pStyle w:val="7"/>
        <w:rPr>
          <w:sz w:val="21"/>
          <w:szCs w:val="21"/>
        </w:rPr>
      </w:pPr>
    </w:p>
    <w:p>
      <w:pPr>
        <w:pStyle w:val="7"/>
        <w:rPr>
          <w:sz w:val="21"/>
          <w:szCs w:val="21"/>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02"/>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02" w:type="dxa"/>
            <w:vAlign w:val="center"/>
          </w:tcPr>
          <w:p>
            <w:pPr>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rPr>
              <w:t>受审核</w:t>
            </w:r>
            <w:r>
              <w:rPr>
                <w:rFonts w:hint="eastAsia" w:ascii="宋体" w:hAnsi="宋体" w:eastAsia="宋体" w:cs="宋体"/>
                <w:sz w:val="24"/>
                <w:szCs w:val="24"/>
                <w:lang w:val="en-US" w:eastAsia="zh-CN"/>
              </w:rPr>
              <w:t>部门：综合</w:t>
            </w:r>
            <w:r>
              <w:rPr>
                <w:rFonts w:hint="eastAsia" w:ascii="宋体" w:hAnsi="宋体" w:cs="宋体"/>
                <w:sz w:val="24"/>
                <w:szCs w:val="24"/>
                <w:lang w:val="en-US" w:eastAsia="zh-CN"/>
              </w:rPr>
              <w:t>部</w:t>
            </w:r>
            <w:r>
              <w:rPr>
                <w:rFonts w:hint="eastAsia" w:ascii="宋体" w:hAnsi="宋体" w:eastAsia="宋体" w:cs="宋体"/>
                <w:sz w:val="24"/>
                <w:szCs w:val="24"/>
                <w:lang w:val="en-US" w:eastAsia="zh-CN"/>
              </w:rPr>
              <w:t xml:space="preserve">     主管领导：</w:t>
            </w:r>
            <w:r>
              <w:rPr>
                <w:rFonts w:hint="eastAsia" w:ascii="宋体" w:hAnsi="宋体"/>
                <w:color w:val="000000"/>
                <w:sz w:val="21"/>
                <w:szCs w:val="21"/>
                <w:highlight w:val="none"/>
                <w:lang w:val="en-US" w:eastAsia="zh-CN"/>
              </w:rPr>
              <w:t>张成根</w:t>
            </w:r>
            <w:r>
              <w:rPr>
                <w:rFonts w:hint="eastAsia" w:ascii="宋体" w:hAnsi="宋体" w:eastAsia="宋体" w:cs="宋体"/>
                <w:sz w:val="24"/>
                <w:szCs w:val="24"/>
                <w:lang w:val="en-US" w:eastAsia="zh-CN"/>
              </w:rPr>
              <w:t xml:space="preserve">           陪同人员：</w:t>
            </w:r>
            <w:r>
              <w:rPr>
                <w:rFonts w:hint="eastAsia" w:ascii="宋体" w:hAnsi="宋体"/>
                <w:color w:val="000000"/>
                <w:sz w:val="21"/>
                <w:szCs w:val="21"/>
                <w:highlight w:val="none"/>
                <w:lang w:eastAsia="zh-CN"/>
              </w:rPr>
              <w:t>王红军</w:t>
            </w:r>
          </w:p>
        </w:tc>
        <w:tc>
          <w:tcPr>
            <w:tcW w:w="78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02" w:type="dxa"/>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 xml:space="preserve">姜小清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w:t>
            </w:r>
            <w:r>
              <w:rPr>
                <w:rFonts w:hint="eastAsia" w:ascii="宋体" w:hAnsi="宋体" w:eastAsia="宋体" w:cs="宋体"/>
                <w:sz w:val="24"/>
                <w:szCs w:val="24"/>
                <w:lang w:val="en-US" w:eastAsia="zh-CN"/>
              </w:rPr>
              <w:t>2021.</w:t>
            </w:r>
            <w:r>
              <w:rPr>
                <w:rFonts w:hint="eastAsia" w:ascii="宋体" w:hAnsi="宋体" w:cs="宋体"/>
                <w:sz w:val="24"/>
                <w:szCs w:val="24"/>
                <w:lang w:val="en-US" w:eastAsia="zh-CN"/>
              </w:rPr>
              <w:t>4.2</w:t>
            </w:r>
          </w:p>
        </w:tc>
        <w:tc>
          <w:tcPr>
            <w:tcW w:w="7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160" w:type="dxa"/>
            <w:vMerge w:val="continue"/>
            <w:vAlign w:val="center"/>
          </w:tcPr>
          <w:p/>
        </w:tc>
        <w:tc>
          <w:tcPr>
            <w:tcW w:w="960" w:type="dxa"/>
            <w:vMerge w:val="continue"/>
            <w:vAlign w:val="center"/>
          </w:tcPr>
          <w:p/>
        </w:tc>
        <w:tc>
          <w:tcPr>
            <w:tcW w:w="10802" w:type="dxa"/>
            <w:vAlign w:val="center"/>
          </w:tcPr>
          <w:p>
            <w:pPr>
              <w:rPr>
                <w:sz w:val="24"/>
                <w:szCs w:val="24"/>
              </w:rPr>
            </w:pPr>
            <w:r>
              <w:rPr>
                <w:rFonts w:hint="eastAsia"/>
                <w:sz w:val="24"/>
                <w:szCs w:val="24"/>
              </w:rPr>
              <w:t>审核条款：</w:t>
            </w:r>
            <w:r>
              <w:rPr>
                <w:rFonts w:hint="eastAsia" w:ascii="宋体" w:hAnsi="宋体" w:eastAsia="宋体" w:cs="宋体"/>
                <w:color w:val="auto"/>
                <w:sz w:val="24"/>
                <w:szCs w:val="24"/>
                <w:lang w:val="en-US" w:eastAsia="zh-CN"/>
              </w:rPr>
              <w:t>5.3 组织的岗位、职责和权限、6.2 目标、能源指及其实现的策划、6.3 能源评审、6.4 能源绩效参数、6.5 能源基准、6.6 采集能源数据的策划、7.2 能力、7.3 意识、7.4沟通交流、7.5 文件化信息、8.1 运行的策划和控制、9.1.1 能源绩效和能源管理体系的监视、测量、分析和评价、9.1.2 法律法规要求和其他要求的合规性评价、9.2 内部审核、10.1 不符合与纠正措施、10.2 持续改进</w:t>
            </w:r>
          </w:p>
        </w:tc>
        <w:tc>
          <w:tcPr>
            <w:tcW w:w="7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组织的岗位、职责和权限</w:t>
            </w:r>
          </w:p>
          <w:p/>
        </w:tc>
        <w:tc>
          <w:tcPr>
            <w:tcW w:w="960" w:type="dxa"/>
            <w:vAlign w:val="top"/>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5.3 </w:t>
            </w:r>
          </w:p>
          <w:p>
            <w:pPr>
              <w:jc w:val="left"/>
              <w:rPr>
                <w:rFonts w:hint="eastAsia" w:ascii="宋体" w:hAnsi="宋体" w:eastAsia="宋体" w:cs="宋体"/>
                <w:b w:val="0"/>
                <w:bCs w:val="0"/>
                <w:color w:val="auto"/>
                <w:sz w:val="24"/>
                <w:szCs w:val="24"/>
                <w:u w:val="none"/>
                <w:lang w:val="en-US" w:eastAsia="zh-CN"/>
              </w:rPr>
            </w:pPr>
          </w:p>
        </w:tc>
        <w:tc>
          <w:tcPr>
            <w:tcW w:w="10802"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能源岗位人员和岗位设置：</w:t>
            </w:r>
          </w:p>
          <w:p>
            <w:pPr>
              <w:numPr>
                <w:ilvl w:val="0"/>
                <w:numId w:val="0"/>
              </w:numP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综合部</w:t>
            </w:r>
            <w:r>
              <w:rPr>
                <w:rFonts w:hint="eastAsia" w:ascii="宋体" w:hAnsi="宋体" w:cs="宋体"/>
                <w:b w:val="0"/>
                <w:bCs w:val="0"/>
                <w:color w:val="auto"/>
                <w:sz w:val="24"/>
                <w:szCs w:val="24"/>
                <w:u w:val="none"/>
                <w:lang w:val="en-US" w:eastAsia="zh-CN"/>
              </w:rPr>
              <w:t>2</w:t>
            </w:r>
            <w:r>
              <w:rPr>
                <w:rFonts w:hint="eastAsia" w:ascii="宋体" w:hAnsi="宋体" w:eastAsia="宋体" w:cs="宋体"/>
                <w:b w:val="0"/>
                <w:bCs w:val="0"/>
                <w:color w:val="auto"/>
                <w:sz w:val="24"/>
                <w:szCs w:val="24"/>
                <w:u w:val="none"/>
                <w:lang w:val="en-US" w:eastAsia="zh-CN"/>
              </w:rPr>
              <w:t>人</w:t>
            </w:r>
            <w:r>
              <w:rPr>
                <w:rFonts w:hint="eastAsia" w:ascii="宋体" w:hAnsi="宋体" w:cs="宋体"/>
                <w:b w:val="0"/>
                <w:bCs w:val="0"/>
                <w:color w:val="auto"/>
                <w:sz w:val="24"/>
                <w:szCs w:val="24"/>
                <w:u w:val="none"/>
                <w:lang w:val="en-US" w:eastAsia="zh-CN"/>
              </w:rPr>
              <w:t>、主管和文员各一人</w:t>
            </w:r>
            <w:r>
              <w:rPr>
                <w:rFonts w:hint="eastAsia" w:ascii="宋体" w:hAnsi="宋体" w:eastAsia="宋体" w:cs="宋体"/>
                <w:b w:val="0"/>
                <w:bCs w:val="0"/>
                <w:color w:val="auto"/>
                <w:sz w:val="24"/>
                <w:szCs w:val="24"/>
                <w:u w:val="none"/>
                <w:lang w:val="en-US" w:eastAsia="zh-CN"/>
              </w:rPr>
              <w:t>。</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u w:val="none"/>
                <w:lang w:val="en-US" w:eastAsia="zh-CN"/>
              </w:rPr>
              <w:t>主</w:t>
            </w:r>
            <w:r>
              <w:rPr>
                <w:rFonts w:hint="eastAsia" w:ascii="宋体" w:hAnsi="宋体" w:eastAsia="宋体" w:cs="宋体"/>
                <w:b w:val="0"/>
                <w:bCs w:val="0"/>
                <w:color w:val="auto"/>
                <w:sz w:val="24"/>
                <w:szCs w:val="24"/>
                <w:u w:val="single"/>
                <w:lang w:val="en-US" w:eastAsia="zh-CN"/>
              </w:rPr>
              <w:t>要工作内容和职责</w:t>
            </w:r>
            <w:r>
              <w:rPr>
                <w:rFonts w:hint="eastAsia" w:ascii="宋体" w:hAnsi="宋体" w:eastAsia="宋体" w:cs="宋体"/>
                <w:b w:val="0"/>
                <w:bCs w:val="0"/>
                <w:color w:val="auto"/>
                <w:sz w:val="24"/>
                <w:szCs w:val="24"/>
                <w:u w:val="none"/>
                <w:lang w:val="en-US" w:eastAsia="zh-CN"/>
              </w:rPr>
              <w:t>权限：</w:t>
            </w:r>
          </w:p>
          <w:p>
            <w:pPr>
              <w:numPr>
                <w:ilvl w:val="0"/>
                <w:numId w:val="0"/>
              </w:numPr>
              <w:rPr>
                <w:rFonts w:hint="eastAsia" w:ascii="宋体" w:hAnsi="宋体" w:eastAsia="宋体" w:cs="宋体"/>
                <w:b w:val="0"/>
                <w:bCs w:val="0"/>
                <w:color w:val="auto"/>
                <w:sz w:val="24"/>
                <w:szCs w:val="24"/>
                <w:u w:val="none"/>
                <w:lang w:val="en-US" w:eastAsia="zh-CN"/>
              </w:rPr>
            </w:pPr>
            <w:r>
              <w:rPr>
                <w:rFonts w:hint="eastAsia" w:ascii="宋体" w:hAnsi="宋体" w:eastAsia="宋体" w:cs="宋体"/>
                <w:color w:val="auto"/>
                <w:sz w:val="24"/>
                <w:szCs w:val="24"/>
                <w:lang w:val="en-US" w:eastAsia="zh-CN"/>
              </w:rPr>
              <w:t>负责贯彻落实国家发布的节能方针、政策、法律、法规、标准及规定，编制实施公司节能规划及年度计划。负责能源管理体系培训计划的编制、落实和检查；确保能源管理人员和主要耗能设备操作人员培训达标。负责公司的能源统计和上报工作。负责能源管理内外部信息的交流及外来文件的接收、传递、控制等工作。制定内审计划和方案，参与能源管理体系管理评审，确保体系的正常运行。能源管理体系的文件归口管理部门，负责编制及发布能源管理手册及相关文件。负责公司文件的制定、完善和管理文件的接收、发放、销毁等控制工作。负责监督、督促、维护、监控公司能源管理体系的运行情况；每月对各部门管理目标完成情况进行能源绩效考核。根据本公司能源管理体系运行的需要，建立和调整公司结构，规定各部门的职责和权限，建立通畅的内部沟通渠道。</w:t>
            </w:r>
            <w:r>
              <w:rPr>
                <w:rFonts w:hint="eastAsia" w:ascii="宋体" w:hAnsi="宋体" w:cs="宋体"/>
                <w:color w:val="auto"/>
                <w:sz w:val="24"/>
                <w:szCs w:val="24"/>
                <w:lang w:val="en-US" w:eastAsia="zh-CN"/>
              </w:rPr>
              <w:t>人员培</w:t>
            </w:r>
            <w:r>
              <w:rPr>
                <w:rFonts w:hint="eastAsia" w:ascii="宋体" w:hAnsi="宋体" w:cs="宋体"/>
                <w:color w:val="auto"/>
                <w:sz w:val="24"/>
                <w:szCs w:val="24"/>
                <w:u w:val="single"/>
                <w:lang w:val="en-US" w:eastAsia="zh-CN"/>
              </w:rPr>
              <w:t>训教育</w:t>
            </w:r>
            <w:r>
              <w:rPr>
                <w:rFonts w:hint="eastAsia" w:ascii="宋体" w:hAnsi="宋体" w:eastAsia="宋体" w:cs="宋体"/>
                <w:color w:val="auto"/>
                <w:sz w:val="24"/>
                <w:szCs w:val="24"/>
                <w:u w:val="single"/>
                <w:lang w:val="en-US" w:eastAsia="zh-CN"/>
              </w:rPr>
              <w:t>提高广大员工的节能</w:t>
            </w:r>
            <w:r>
              <w:rPr>
                <w:rFonts w:hint="eastAsia" w:ascii="宋体" w:hAnsi="宋体" w:eastAsia="宋体" w:cs="宋体"/>
                <w:color w:val="auto"/>
                <w:sz w:val="24"/>
                <w:szCs w:val="24"/>
                <w:lang w:val="en-US" w:eastAsia="zh-CN"/>
              </w:rPr>
              <w:t>意识。搜集、存档能源管理方面的法律法规文件，并定期评价对适用法律法规和其他要求的遵守情况。收集、整理节能新技术、新设备及新能源和再生能源有效利用方面的信息。</w:t>
            </w:r>
          </w:p>
        </w:tc>
        <w:tc>
          <w:tcPr>
            <w:tcW w:w="78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目标，能源指标及其实现的策划</w:t>
            </w:r>
          </w:p>
          <w:p>
            <w:pPr>
              <w:rPr>
                <w:rFonts w:hint="eastAsia" w:eastAsia="宋体"/>
                <w:lang w:eastAsia="zh-CN"/>
              </w:rPr>
            </w:pPr>
            <w:r>
              <w:rPr>
                <w:rFonts w:hint="eastAsia" w:ascii="宋体" w:hAnsi="宋体" w:cs="宋体"/>
                <w:sz w:val="24"/>
                <w:szCs w:val="24"/>
                <w:lang w:val="en-US" w:eastAsia="zh-CN"/>
              </w:rPr>
              <w:t xml:space="preserve">  </w:t>
            </w:r>
          </w:p>
        </w:tc>
        <w:tc>
          <w:tcPr>
            <w:tcW w:w="9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6.2 </w:t>
            </w:r>
          </w:p>
          <w:p>
            <w:pPr>
              <w:rPr>
                <w:rFonts w:hint="eastAsia" w:ascii="宋体" w:hAnsi="宋体" w:eastAsia="宋体" w:cs="宋体"/>
                <w:sz w:val="24"/>
                <w:szCs w:val="24"/>
                <w:lang w:val="en-US" w:eastAsia="zh-CN"/>
              </w:rPr>
            </w:pPr>
          </w:p>
          <w:p>
            <w:r>
              <w:rPr>
                <w:rFonts w:hint="eastAsia" w:ascii="宋体" w:hAnsi="宋体" w:cs="宋体"/>
                <w:sz w:val="24"/>
                <w:szCs w:val="24"/>
                <w:lang w:val="en-US" w:eastAsia="zh-CN"/>
              </w:rPr>
              <w:t xml:space="preserve"> </w:t>
            </w:r>
          </w:p>
        </w:tc>
        <w:tc>
          <w:tcPr>
            <w:tcW w:w="10802" w:type="dxa"/>
            <w:vAlign w:val="top"/>
          </w:tcPr>
          <w:p>
            <w:pPr>
              <w:numPr>
                <w:ilvl w:val="0"/>
                <w:numId w:val="0"/>
              </w:num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本部门的能源目标指标“</w:t>
            </w:r>
            <w:r>
              <w:rPr>
                <w:rFonts w:hint="eastAsia" w:ascii="宋体" w:hAnsi="宋体" w:cs="宋体"/>
                <w:color w:val="auto"/>
                <w:sz w:val="24"/>
                <w:szCs w:val="24"/>
                <w:lang w:val="en-US" w:eastAsia="zh-CN"/>
              </w:rPr>
              <w:t>人员能源培训完成率100%</w:t>
            </w:r>
            <w:r>
              <w:rPr>
                <w:rFonts w:hint="eastAsia" w:ascii="宋体" w:hAnsi="宋体" w:eastAsia="宋体" w:cs="宋体"/>
                <w:color w:val="auto"/>
                <w:sz w:val="24"/>
                <w:szCs w:val="24"/>
                <w:lang w:val="en-US" w:eastAsia="zh-CN"/>
              </w:rPr>
              <w:t>”——查结合了“法律法规要求”、“主要能源使用和改进机会”、“财务”、“运行”、“经营条件”、“技术和相关方要求”等——基本符</w:t>
            </w:r>
            <w:bookmarkStart w:id="0" w:name="_GoBack"/>
            <w:bookmarkEnd w:id="0"/>
            <w:r>
              <w:rPr>
                <w:rFonts w:hint="eastAsia" w:ascii="宋体" w:hAnsi="宋体" w:eastAsia="宋体" w:cs="宋体"/>
                <w:color w:val="auto"/>
                <w:sz w:val="24"/>
                <w:szCs w:val="24"/>
                <w:lang w:val="en-US" w:eastAsia="zh-CN"/>
              </w:rPr>
              <w:t>合标准要求；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FF0000"/>
                <w:sz w:val="24"/>
                <w:szCs w:val="24"/>
                <w:lang w:val="en-US" w:eastAsia="zh-CN"/>
              </w:rPr>
              <w:t>查部门2020年以来目标指标基本达成、</w:t>
            </w:r>
            <w:r>
              <w:rPr>
                <w:rFonts w:hint="eastAsia" w:ascii="宋体" w:hAnsi="宋体" w:cs="宋体"/>
                <w:color w:val="FF0000"/>
                <w:sz w:val="24"/>
                <w:szCs w:val="24"/>
                <w:lang w:val="en-US" w:eastAsia="zh-CN"/>
              </w:rPr>
              <w:t xml:space="preserve">人员培训及效果评价合格率100% </w:t>
            </w:r>
            <w:r>
              <w:rPr>
                <w:rFonts w:hint="eastAsia" w:ascii="宋体" w:hAnsi="宋体" w:eastAsia="宋体" w:cs="宋体"/>
                <w:color w:val="FF0000"/>
                <w:sz w:val="24"/>
                <w:szCs w:val="24"/>
                <w:lang w:val="en-US" w:eastAsia="zh-CN"/>
              </w:rPr>
              <w:t>；</w:t>
            </w:r>
          </w:p>
        </w:tc>
        <w:tc>
          <w:tcPr>
            <w:tcW w:w="787" w:type="dxa"/>
            <w:vAlign w:val="top"/>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160" w:type="dxa"/>
            <w:vAlign w:val="top"/>
          </w:tcPr>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能源评审</w:t>
            </w: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能源绩效参数 </w:t>
            </w: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能源基准</w:t>
            </w:r>
          </w:p>
          <w:p>
            <w:pPr>
              <w:numPr>
                <w:ilvl w:val="0"/>
                <w:numId w:val="0"/>
              </w:numPr>
              <w:ind w:left="0" w:leftChars="0" w:firstLine="0" w:firstLineChars="0"/>
            </w:pPr>
            <w:r>
              <w:rPr>
                <w:rFonts w:hint="eastAsia" w:ascii="宋体" w:hAnsi="宋体" w:cs="宋体"/>
                <w:color w:val="auto"/>
                <w:sz w:val="24"/>
                <w:szCs w:val="24"/>
                <w:lang w:val="en-US" w:eastAsia="zh-CN"/>
              </w:rPr>
              <w:t xml:space="preserve"> </w:t>
            </w:r>
          </w:p>
        </w:tc>
        <w:tc>
          <w:tcPr>
            <w:tcW w:w="960" w:type="dxa"/>
            <w:vAlign w:val="top"/>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6.3 </w:t>
            </w: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6.4 </w:t>
            </w: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w:t>
            </w:r>
          </w:p>
          <w:p>
            <w:pPr>
              <w:numPr>
                <w:ilvl w:val="0"/>
                <w:numId w:val="0"/>
              </w:numP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 </w:t>
            </w: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p>
        </w:tc>
        <w:tc>
          <w:tcPr>
            <w:tcW w:w="10802" w:type="dxa"/>
          </w:tcPr>
          <w:p>
            <w:pPr>
              <w:numPr>
                <w:ilvl w:val="0"/>
                <w:numId w:val="0"/>
              </w:numPr>
              <w:rPr>
                <w:rFonts w:hint="eastAsia" w:ascii="宋体" w:hAnsi="宋体" w:cs="宋体"/>
                <w:color w:val="auto"/>
                <w:sz w:val="24"/>
                <w:szCs w:val="24"/>
                <w:lang w:val="en-US" w:eastAsia="zh-CN"/>
              </w:rPr>
            </w:pPr>
            <w:r>
              <w:rPr>
                <w:rFonts w:hint="eastAsia" w:ascii="宋体" w:hAnsi="宋体" w:cs="宋体"/>
                <w:sz w:val="24"/>
                <w:szCs w:val="24"/>
                <w:lang w:val="en-US" w:eastAsia="zh-CN"/>
              </w:rPr>
              <w:t>负责编制并</w:t>
            </w:r>
            <w:r>
              <w:rPr>
                <w:rFonts w:hint="eastAsia" w:ascii="宋体" w:hAnsi="宋体" w:eastAsia="宋体" w:cs="宋体"/>
                <w:sz w:val="24"/>
                <w:szCs w:val="24"/>
                <w:lang w:val="en-US" w:eastAsia="zh-CN"/>
              </w:rPr>
              <w:t>提供</w:t>
            </w:r>
            <w:r>
              <w:rPr>
                <w:rFonts w:hint="eastAsia" w:ascii="宋体" w:hAnsi="宋体" w:cs="宋体"/>
                <w:sz w:val="24"/>
                <w:szCs w:val="24"/>
                <w:lang w:val="en-US" w:eastAsia="zh-CN"/>
              </w:rPr>
              <w:t>了</w:t>
            </w:r>
            <w:r>
              <w:rPr>
                <w:rFonts w:hint="eastAsia" w:ascii="宋体" w:hAnsi="宋体" w:cs="宋体"/>
                <w:color w:val="auto"/>
                <w:sz w:val="24"/>
                <w:szCs w:val="24"/>
                <w:lang w:val="en-US" w:eastAsia="zh-CN"/>
              </w:rPr>
              <w:t>《初始能源评审报告》其中：</w:t>
            </w: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公司主要消耗的能源</w:t>
            </w:r>
            <w:r>
              <w:rPr>
                <w:rFonts w:hint="eastAsia" w:ascii="宋体" w:hAnsi="宋体" w:cs="宋体"/>
                <w:color w:val="auto"/>
                <w:sz w:val="24"/>
                <w:szCs w:val="24"/>
                <w:u w:val="single"/>
                <w:lang w:val="en-US" w:eastAsia="zh-CN"/>
              </w:rPr>
              <w:t>为电力、天然气、自来水（新</w:t>
            </w:r>
            <w:r>
              <w:rPr>
                <w:rFonts w:hint="eastAsia" w:ascii="宋体" w:hAnsi="宋体" w:cs="宋体"/>
                <w:color w:val="auto"/>
                <w:sz w:val="24"/>
                <w:szCs w:val="24"/>
                <w:lang w:val="en-US" w:eastAsia="zh-CN"/>
              </w:rPr>
              <w:t>水）；</w:t>
            </w:r>
          </w:p>
          <w:p>
            <w:pPr>
              <w:numPr>
                <w:ilvl w:val="0"/>
                <w:numId w:val="0"/>
              </w:numP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电力——来源于国家电网供电公司；经过变压转换输出到各个生产车间用于设备运行；其</w:t>
            </w:r>
            <w:r>
              <w:rPr>
                <w:rFonts w:hint="eastAsia" w:ascii="宋体" w:hAnsi="宋体" w:cs="宋体"/>
                <w:color w:val="auto"/>
                <w:sz w:val="24"/>
                <w:szCs w:val="24"/>
                <w:u w:val="single"/>
                <w:lang w:val="en-US" w:eastAsia="zh-CN"/>
              </w:rPr>
              <w:t>中耗电量最大额车间</w:t>
            </w:r>
            <w:r>
              <w:rPr>
                <w:rFonts w:hint="eastAsia" w:ascii="宋体" w:hAnsi="宋体" w:cs="宋体"/>
                <w:color w:val="auto"/>
                <w:sz w:val="24"/>
                <w:szCs w:val="24"/>
                <w:lang w:val="en-US" w:eastAsia="zh-CN"/>
              </w:rPr>
              <w:t>是熔炼车间（将废钢熔化成钢水浇筑到蜡模中）；</w:t>
            </w: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天然气——来源于中石化湖北襄阳分公司；采购电力</w:t>
            </w:r>
            <w:r>
              <w:rPr>
                <w:rFonts w:hint="eastAsia" w:ascii="宋体" w:hAnsi="宋体" w:cs="宋体"/>
                <w:color w:val="auto"/>
                <w:sz w:val="24"/>
                <w:szCs w:val="24"/>
                <w:u w:val="single"/>
                <w:lang w:val="en-US" w:eastAsia="zh-CN"/>
              </w:rPr>
              <w:t>采购天然气用于熔炼车间隧道窑设</w:t>
            </w:r>
            <w:r>
              <w:rPr>
                <w:rFonts w:hint="eastAsia" w:ascii="宋体" w:hAnsi="宋体" w:cs="宋体"/>
                <w:color w:val="auto"/>
                <w:sz w:val="24"/>
                <w:szCs w:val="24"/>
                <w:lang w:val="en-US" w:eastAsia="zh-CN"/>
              </w:rPr>
              <w:t>备运行（为蜡模件预热保温）；</w:t>
            </w:r>
          </w:p>
          <w:p>
            <w:pPr>
              <w:numPr>
                <w:ilvl w:val="0"/>
                <w:numId w:val="0"/>
              </w:numP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新水——本厂管道自取水，用于制壳车间、热处理、蜡模车间相关过程经蓄水池循环利用。</w:t>
            </w:r>
          </w:p>
          <w:p>
            <w:pPr>
              <w:pStyle w:val="2"/>
              <w:ind w:left="0" w:leftChars="0" w:firstLine="0" w:firstLineChars="0"/>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生产</w:t>
            </w:r>
            <w:r>
              <w:rPr>
                <w:rFonts w:hint="eastAsia" w:ascii="宋体" w:hAnsi="宋体" w:cs="宋体"/>
                <w:color w:val="auto"/>
                <w:sz w:val="24"/>
                <w:szCs w:val="24"/>
                <w:u w:val="single"/>
                <w:lang w:val="en-US" w:eastAsia="zh-CN"/>
              </w:rPr>
              <w:t>部重点用能</w:t>
            </w:r>
            <w:r>
              <w:rPr>
                <w:rFonts w:hint="eastAsia" w:ascii="宋体" w:hAnsi="宋体" w:cs="宋体"/>
                <w:color w:val="auto"/>
                <w:sz w:val="24"/>
                <w:szCs w:val="24"/>
                <w:lang w:val="en-US" w:eastAsia="zh-CN"/>
              </w:rPr>
              <w:t>岗位——管理岗、计划调度岗、现场操作岗等 ；</w:t>
            </w:r>
          </w:p>
          <w:p>
            <w:pPr>
              <w:pStyle w:val="2"/>
              <w:rPr>
                <w:rFonts w:hint="eastAsia"/>
                <w:lang w:val="en-US" w:eastAsia="zh-CN"/>
              </w:rPr>
            </w:pP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确定</w:t>
            </w:r>
            <w:r>
              <w:rPr>
                <w:rFonts w:hint="eastAsia" w:ascii="宋体" w:hAnsi="宋体" w:cs="宋体"/>
                <w:color w:val="auto"/>
                <w:sz w:val="24"/>
                <w:szCs w:val="24"/>
                <w:u w:val="single"/>
                <w:lang w:val="en-US" w:eastAsia="zh-CN"/>
              </w:rPr>
              <w:t>的“相关变量</w:t>
            </w:r>
            <w:r>
              <w:rPr>
                <w:rFonts w:hint="eastAsia" w:ascii="宋体" w:hAnsi="宋体" w:cs="宋体"/>
                <w:color w:val="auto"/>
                <w:sz w:val="24"/>
                <w:szCs w:val="24"/>
                <w:lang w:val="en-US" w:eastAsia="zh-CN"/>
              </w:rPr>
              <w:t>”为产量(t)；</w:t>
            </w: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静态因</w:t>
            </w:r>
            <w:r>
              <w:rPr>
                <w:rFonts w:hint="eastAsia" w:ascii="宋体" w:hAnsi="宋体" w:cs="宋体"/>
                <w:color w:val="auto"/>
                <w:sz w:val="24"/>
                <w:szCs w:val="24"/>
                <w:u w:val="single"/>
                <w:lang w:val="en-US" w:eastAsia="zh-CN"/>
              </w:rPr>
              <w:t>素“生产现</w:t>
            </w:r>
            <w:r>
              <w:rPr>
                <w:rFonts w:hint="eastAsia" w:ascii="宋体" w:hAnsi="宋体" w:cs="宋体"/>
                <w:color w:val="auto"/>
                <w:sz w:val="24"/>
                <w:szCs w:val="24"/>
                <w:lang w:val="en-US" w:eastAsia="zh-CN"/>
              </w:rPr>
              <w:t>场状态、人员等”；</w:t>
            </w: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明确了“能源绩效”——年综合能耗、可比单位产品综合能耗、单位产值综合能耗；</w:t>
            </w: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能</w:t>
            </w:r>
            <w:r>
              <w:rPr>
                <w:rFonts w:hint="eastAsia" w:ascii="宋体" w:hAnsi="宋体" w:cs="宋体"/>
                <w:color w:val="auto"/>
                <w:sz w:val="24"/>
                <w:szCs w:val="24"/>
                <w:u w:val="single"/>
                <w:lang w:val="en-US" w:eastAsia="zh-CN"/>
              </w:rPr>
              <w:t>源绩效参</w:t>
            </w:r>
            <w:r>
              <w:rPr>
                <w:rFonts w:hint="eastAsia" w:ascii="宋体" w:hAnsi="宋体" w:cs="宋体"/>
                <w:color w:val="auto"/>
                <w:sz w:val="24"/>
                <w:szCs w:val="24"/>
                <w:lang w:val="en-US" w:eastAsia="zh-CN"/>
              </w:rPr>
              <w:t>数：</w:t>
            </w:r>
          </w:p>
          <w:p>
            <w:pPr>
              <w:numPr>
                <w:ilvl w:val="0"/>
                <w:numId w:val="0"/>
              </w:numPr>
              <w:rPr>
                <w:rFonts w:hint="eastAsia" w:ascii="宋体" w:hAnsi="宋体" w:cs="宋体"/>
                <w:color w:val="auto"/>
                <w:sz w:val="24"/>
                <w:szCs w:val="24"/>
                <w:lang w:val="en-US" w:eastAsia="zh-CN"/>
              </w:rPr>
            </w:pPr>
            <w:r>
              <w:rPr>
                <w:rFonts w:hint="eastAsia" w:ascii="宋体" w:hAnsi="宋体" w:cs="宋体"/>
                <w:kern w:val="2"/>
                <w:sz w:val="24"/>
                <w:szCs w:val="24"/>
                <w:highlight w:val="none"/>
                <w:vertAlign w:val="baseline"/>
                <w:lang w:val="en-US" w:eastAsia="zh-CN" w:bidi="ar-SA"/>
              </w:rPr>
              <w:t>公司级：</w:t>
            </w:r>
            <w:r>
              <w:rPr>
                <w:rFonts w:hint="eastAsia" w:ascii="宋体" w:hAnsi="宋体" w:eastAsia="宋体" w:cs="宋体"/>
                <w:kern w:val="2"/>
                <w:sz w:val="24"/>
                <w:szCs w:val="24"/>
                <w:highlight w:val="none"/>
                <w:vertAlign w:val="baseline"/>
                <w:lang w:val="en-US" w:eastAsia="zh-CN" w:bidi="ar-SA"/>
              </w:rPr>
              <w:t>Kgce</w:t>
            </w:r>
            <w:r>
              <w:rPr>
                <w:rFonts w:hint="eastAsia" w:ascii="宋体" w:hAnsi="宋体" w:cs="宋体"/>
                <w:kern w:val="2"/>
                <w:sz w:val="24"/>
                <w:szCs w:val="24"/>
                <w:highlight w:val="none"/>
                <w:vertAlign w:val="baseline"/>
                <w:lang w:val="en-US" w:eastAsia="zh-CN" w:bidi="ar-SA"/>
              </w:rPr>
              <w:t>、</w:t>
            </w:r>
            <w:r>
              <w:rPr>
                <w:rFonts w:hint="eastAsia" w:ascii="宋体" w:hAnsi="宋体" w:eastAsia="宋体" w:cs="宋体"/>
                <w:kern w:val="2"/>
                <w:sz w:val="24"/>
                <w:szCs w:val="24"/>
                <w:highlight w:val="none"/>
                <w:vertAlign w:val="baseline"/>
                <w:lang w:val="en-US" w:eastAsia="zh-CN" w:bidi="ar-SA"/>
              </w:rPr>
              <w:t>Kgce/t</w:t>
            </w:r>
            <w:r>
              <w:rPr>
                <w:rFonts w:hint="eastAsia" w:ascii="宋体" w:hAnsi="宋体" w:cs="宋体"/>
                <w:color w:val="auto"/>
                <w:sz w:val="24"/>
                <w:szCs w:val="24"/>
                <w:lang w:val="en-US" w:eastAsia="zh-CN"/>
              </w:rPr>
              <w:t>、kgce/(10k.</w:t>
            </w:r>
            <w:r>
              <w:rPr>
                <w:rFonts w:hint="default" w:ascii="Arial" w:hAnsi="Arial" w:cs="Arial"/>
                <w:color w:val="auto"/>
                <w:sz w:val="24"/>
                <w:szCs w:val="24"/>
                <w:lang w:val="en-US" w:eastAsia="zh-CN"/>
              </w:rPr>
              <w:t>¥</w:t>
            </w:r>
            <w:r>
              <w:rPr>
                <w:rFonts w:hint="eastAsia" w:ascii="宋体" w:hAnsi="宋体" w:cs="宋体"/>
                <w:color w:val="auto"/>
                <w:sz w:val="24"/>
                <w:szCs w:val="24"/>
                <w:lang w:val="en-US" w:eastAsia="zh-CN"/>
              </w:rPr>
              <w:t>)； 设备级：kW、（COSΦ=0.8）、L/（km.100）等；</w:t>
            </w: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对统计期内综合能耗进行</w:t>
            </w:r>
            <w:r>
              <w:rPr>
                <w:rFonts w:hint="eastAsia" w:ascii="宋体" w:hAnsi="宋体" w:cs="宋体"/>
                <w:color w:val="auto"/>
                <w:sz w:val="24"/>
                <w:szCs w:val="24"/>
                <w:u w:val="single"/>
                <w:lang w:val="en-US" w:eastAsia="zh-CN"/>
              </w:rPr>
              <w:t>了“归一化”</w:t>
            </w:r>
            <w:r>
              <w:rPr>
                <w:rFonts w:hint="eastAsia" w:ascii="宋体" w:hAnsi="宋体" w:cs="宋体"/>
                <w:color w:val="auto"/>
                <w:sz w:val="24"/>
                <w:szCs w:val="24"/>
                <w:lang w:val="en-US" w:eastAsia="zh-CN"/>
              </w:rPr>
              <w:t>；</w:t>
            </w: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u w:val="single"/>
                <w:lang w:val="en-US" w:eastAsia="zh-CN"/>
              </w:rPr>
              <w:t>能源基准（2019年基准年）</w:t>
            </w:r>
            <w:r>
              <w:rPr>
                <w:rFonts w:hint="eastAsia" w:ascii="宋体" w:hAnsi="宋体" w:cs="宋体"/>
                <w:color w:val="auto"/>
                <w:sz w:val="24"/>
                <w:szCs w:val="24"/>
                <w:lang w:val="en-US" w:eastAsia="zh-CN"/>
              </w:rPr>
              <w:t>：</w:t>
            </w:r>
          </w:p>
          <w:p>
            <w:pPr>
              <w:numPr>
                <w:ilvl w:val="0"/>
                <w:numId w:val="0"/>
              </w:numPr>
              <w:ind w:leftChars="0"/>
              <w:rPr>
                <w:rFonts w:hint="eastAsia" w:ascii="宋体" w:hAnsi="宋体" w:eastAsia="宋体" w:cs="宋体"/>
                <w:sz w:val="24"/>
                <w:szCs w:val="24"/>
                <w:lang w:val="en-US" w:eastAsia="zh-CN"/>
              </w:rPr>
            </w:pP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可比单位产品综合能耗：</w:t>
            </w:r>
            <w:r>
              <w:rPr>
                <w:rFonts w:hint="eastAsia" w:ascii="宋体" w:hAnsi="宋体" w:eastAsia="宋体" w:cs="宋体"/>
                <w:i w:val="0"/>
                <w:color w:val="000000"/>
                <w:kern w:val="0"/>
                <w:sz w:val="22"/>
                <w:szCs w:val="22"/>
                <w:highlight w:val="none"/>
                <w:u w:val="none"/>
                <w:lang w:val="en-US" w:eastAsia="zh-CN" w:bidi="ar"/>
              </w:rPr>
              <w:t xml:space="preserve">532.62 </w:t>
            </w:r>
            <w:r>
              <w:rPr>
                <w:rFonts w:hint="eastAsia" w:ascii="宋体" w:hAnsi="宋体" w:eastAsia="宋体" w:cs="宋体"/>
                <w:sz w:val="24"/>
                <w:szCs w:val="24"/>
                <w:lang w:val="en-US" w:eastAsia="zh-CN"/>
              </w:rPr>
              <w:t>Kgce/</w:t>
            </w:r>
            <w:r>
              <w:rPr>
                <w:rFonts w:hint="eastAsia" w:ascii="宋体" w:hAnsi="宋体" w:cs="宋体"/>
                <w:sz w:val="24"/>
                <w:szCs w:val="24"/>
                <w:lang w:val="en-US" w:eastAsia="zh-CN"/>
              </w:rPr>
              <w:t>t</w:t>
            </w:r>
            <w:r>
              <w:rPr>
                <w:rFonts w:hint="eastAsia" w:ascii="宋体" w:hAnsi="宋体" w:eastAsia="宋体" w:cs="宋体"/>
                <w:sz w:val="24"/>
                <w:szCs w:val="24"/>
                <w:lang w:val="en-US" w:eastAsia="zh-CN"/>
              </w:rPr>
              <w:t>；</w:t>
            </w:r>
          </w:p>
          <w:p>
            <w:pPr>
              <w:numPr>
                <w:ilvl w:val="0"/>
                <w:numId w:val="0"/>
              </w:numPr>
              <w:ind w:leftChars="0"/>
              <w:rPr>
                <w:rFonts w:hint="eastAsia" w:ascii="宋体" w:hAnsi="宋体" w:eastAsia="宋体" w:cs="宋体"/>
                <w:sz w:val="24"/>
                <w:szCs w:val="24"/>
                <w:lang w:val="en-US" w:eastAsia="zh-CN"/>
              </w:rPr>
            </w:pP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 xml:space="preserve">单位产值综合能耗：    </w:t>
            </w:r>
            <w:r>
              <w:rPr>
                <w:rFonts w:hint="eastAsia" w:ascii="宋体" w:hAnsi="宋体" w:eastAsia="宋体" w:cs="宋体"/>
                <w:i w:val="0"/>
                <w:color w:val="000000"/>
                <w:kern w:val="0"/>
                <w:sz w:val="22"/>
                <w:szCs w:val="22"/>
                <w:u w:val="none"/>
                <w:lang w:val="en-US" w:eastAsia="zh-CN" w:bidi="ar"/>
              </w:rPr>
              <w:t xml:space="preserve">413.74 </w:t>
            </w:r>
            <w:r>
              <w:rPr>
                <w:rFonts w:hint="eastAsia" w:ascii="宋体" w:hAnsi="宋体" w:eastAsia="宋体" w:cs="宋体"/>
                <w:i w:val="0"/>
                <w:color w:val="000000"/>
                <w:kern w:val="0"/>
                <w:sz w:val="24"/>
                <w:szCs w:val="24"/>
                <w:u w:val="none"/>
                <w:lang w:val="en-US" w:eastAsia="zh-CN" w:bidi="ar"/>
              </w:rPr>
              <w:t>kgce/(10k.￥）</w:t>
            </w:r>
            <w:r>
              <w:rPr>
                <w:rFonts w:hint="eastAsia" w:ascii="宋体" w:hAnsi="宋体" w:eastAsia="宋体" w:cs="宋体"/>
                <w:sz w:val="24"/>
                <w:szCs w:val="24"/>
                <w:lang w:val="en-US" w:eastAsia="zh-CN"/>
              </w:rPr>
              <w:t>；</w:t>
            </w:r>
          </w:p>
          <w:p>
            <w:pPr>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——查上述内容基本真实有效符合组织的实际情况；</w:t>
            </w:r>
          </w:p>
        </w:tc>
        <w:tc>
          <w:tcPr>
            <w:tcW w:w="787" w:type="dxa"/>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60" w:type="dxa"/>
            <w:vAlign w:val="top"/>
          </w:tcPr>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采集能源数据的策划</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运行的策划和控制</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能力培训</w:t>
            </w:r>
          </w:p>
          <w:p>
            <w:pPr>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意识</w:t>
            </w:r>
          </w:p>
        </w:tc>
        <w:tc>
          <w:tcPr>
            <w:tcW w:w="960" w:type="dxa"/>
            <w:vAlign w:val="top"/>
          </w:tcPr>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w:t>
            </w:r>
          </w:p>
          <w:p>
            <w:pPr>
              <w:numPr>
                <w:ilvl w:val="0"/>
                <w:numId w:val="0"/>
              </w:numPr>
              <w:ind w:leftChars="0"/>
              <w:rPr>
                <w:rFonts w:hint="eastAsia" w:ascii="宋体" w:hAnsi="宋体" w:eastAsia="宋体" w:cs="宋体"/>
                <w:sz w:val="24"/>
                <w:szCs w:val="24"/>
                <w:lang w:val="en-US" w:eastAsia="zh-CN"/>
              </w:rPr>
            </w:pP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8.1 7.2</w:t>
            </w:r>
          </w:p>
          <w:p>
            <w:pPr>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7.3</w:t>
            </w:r>
          </w:p>
        </w:tc>
        <w:tc>
          <w:tcPr>
            <w:tcW w:w="10802" w:type="dxa"/>
          </w:tcPr>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各部门（主要生产部）按照“能源数据收集计划”的要求、定期将收集数据发送给综合部、由综合部统一分析处理并记录在案、数据收集计划输出见《</w:t>
            </w:r>
            <w:r>
              <w:rPr>
                <w:rFonts w:hint="eastAsia" w:ascii="宋体" w:hAnsi="宋体" w:cs="宋体"/>
                <w:sz w:val="24"/>
                <w:szCs w:val="24"/>
                <w:lang w:val="en-US" w:eastAsia="zh-CN"/>
              </w:rPr>
              <w:t>华东机械</w:t>
            </w:r>
            <w:r>
              <w:rPr>
                <w:rFonts w:hint="eastAsia" w:ascii="宋体" w:hAnsi="宋体" w:eastAsia="宋体" w:cs="宋体"/>
                <w:sz w:val="24"/>
                <w:szCs w:val="24"/>
                <w:lang w:val="en-US" w:eastAsia="zh-CN"/>
              </w:rPr>
              <w:t>能耗数据》时间201</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.1~2021.3、内容基本充分</w:t>
            </w:r>
            <w:r>
              <w:rPr>
                <w:rFonts w:hint="eastAsia" w:ascii="宋体" w:hAnsi="宋体" w:cs="宋体"/>
                <w:sz w:val="24"/>
                <w:szCs w:val="24"/>
                <w:lang w:val="en-US" w:eastAsia="zh-CN"/>
              </w:rPr>
              <w:t>真实完整详细</w:t>
            </w:r>
            <w:r>
              <w:rPr>
                <w:rFonts w:hint="eastAsia" w:ascii="宋体" w:hAnsi="宋体" w:eastAsia="宋体" w:cs="宋体"/>
                <w:sz w:val="24"/>
                <w:szCs w:val="24"/>
                <w:lang w:val="en-US" w:eastAsia="zh-CN"/>
              </w:rPr>
              <w:t>、符合</w:t>
            </w:r>
            <w:r>
              <w:rPr>
                <w:rFonts w:hint="eastAsia" w:ascii="宋体" w:hAnsi="宋体" w:cs="宋体"/>
                <w:sz w:val="24"/>
                <w:szCs w:val="24"/>
                <w:lang w:val="en-US" w:eastAsia="zh-CN"/>
              </w:rPr>
              <w:t>公司</w:t>
            </w:r>
            <w:r>
              <w:rPr>
                <w:rFonts w:hint="eastAsia" w:ascii="宋体" w:hAnsi="宋体" w:eastAsia="宋体" w:cs="宋体"/>
                <w:sz w:val="24"/>
                <w:szCs w:val="24"/>
                <w:lang w:val="en-US" w:eastAsia="zh-CN"/>
              </w:rPr>
              <w:t>规定；</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制定《能源管理制度》本部门按照要求执行、日常注意节水节电、节省办公用柴汽油量；</w:t>
            </w:r>
          </w:p>
          <w:p>
            <w:pPr>
              <w:pStyle w:val="2"/>
              <w:rPr>
                <w:rFonts w:hint="eastAsia"/>
                <w:lang w:val="en-US" w:eastAsia="zh-CN"/>
              </w:rPr>
            </w:pPr>
          </w:p>
          <w:p>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查人员能力培训材料：</w:t>
            </w:r>
          </w:p>
          <w:p>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编制了《能源岗位说明书》包括涉及的重点用能岗位、人员要求、学历和经历要求等；现场抽查炼钢操作工和生产部主</w:t>
            </w:r>
            <w:r>
              <w:rPr>
                <w:rFonts w:hint="eastAsia" w:ascii="宋体" w:hAnsi="宋体" w:cs="宋体"/>
                <w:sz w:val="24"/>
                <w:szCs w:val="24"/>
                <w:lang w:val="en-US" w:eastAsia="zh-CN"/>
              </w:rPr>
              <w:t>管</w:t>
            </w:r>
            <w:r>
              <w:rPr>
                <w:rFonts w:hint="eastAsia" w:ascii="宋体" w:hAnsi="宋体" w:eastAsia="宋体" w:cs="宋体"/>
                <w:sz w:val="24"/>
                <w:szCs w:val="24"/>
                <w:lang w:val="en-US" w:eastAsia="zh-CN"/>
              </w:rPr>
              <w:t>各1人——基本满足岗位要求、符合规定；</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提供《2020年度培训计划（能源体系）》共4项——均涉及能源管理体系的相关要求；时间范围2020.6.~10.；参加人员包括主要领导、能源小组、重点用能岗位、内审员——基本符合规定；</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抽查1条记录、提供《培训记录表》、题目 “安全节能生产”（2020.10.22）、签到显示包括 汤波等人信息、培训内容：</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1、各种主要能耗设备操作指导书（含节能技术和经济运行要求）、</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2、应急预案、</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3、应急物资的管理要求，如设备的检查，管路的检查等、</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4、发现设备或管路漏气、漏水、油类泄漏的应急措施；</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培训老师： 张成根；</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提供《培训效果自我评价表》培训评价20条打分制、成绩显示参培人员成绩合格、评价人</w:t>
            </w:r>
            <w:r>
              <w:rPr>
                <w:rFonts w:hint="eastAsia" w:ascii="宋体" w:hAnsi="宋体" w:cs="宋体"/>
                <w:sz w:val="24"/>
                <w:szCs w:val="24"/>
                <w:lang w:val="en-US" w:eastAsia="zh-CN"/>
              </w:rPr>
              <w:t>张成根</w:t>
            </w:r>
            <w:r>
              <w:rPr>
                <w:rFonts w:hint="eastAsia" w:ascii="宋体" w:hAnsi="宋体" w:eastAsia="宋体" w:cs="宋体"/>
                <w:sz w:val="24"/>
                <w:szCs w:val="24"/>
                <w:lang w:val="en-US" w:eastAsia="zh-CN"/>
              </w:rPr>
              <w:t>；2020.10.22。</w:t>
            </w:r>
          </w:p>
        </w:tc>
        <w:tc>
          <w:tcPr>
            <w:tcW w:w="787"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numPr>
                <w:ilvl w:val="0"/>
                <w:numId w:val="0"/>
              </w:numPr>
              <w:ind w:left="0" w:leftChars="0" w:firstLine="0" w:firstLineChars="0"/>
            </w:pPr>
            <w:r>
              <w:rPr>
                <w:rFonts w:hint="eastAsia" w:ascii="宋体" w:hAnsi="宋体" w:eastAsia="宋体" w:cs="宋体"/>
                <w:b w:val="0"/>
                <w:bCs w:val="0"/>
                <w:color w:val="auto"/>
                <w:sz w:val="24"/>
                <w:szCs w:val="24"/>
                <w:u w:val="none"/>
                <w:lang w:val="en-US" w:eastAsia="zh-CN"/>
              </w:rPr>
              <w:t>信息交流</w:t>
            </w:r>
          </w:p>
        </w:tc>
        <w:tc>
          <w:tcPr>
            <w:tcW w:w="960" w:type="dxa"/>
            <w:vAlign w:val="top"/>
          </w:tcPr>
          <w:p>
            <w:pPr>
              <w:numPr>
                <w:ilvl w:val="0"/>
                <w:numId w:val="0"/>
              </w:numPr>
              <w:ind w:left="0" w:leftChars="0" w:firstLine="0" w:firstLineChars="0"/>
            </w:pPr>
            <w:r>
              <w:rPr>
                <w:rFonts w:hint="eastAsia" w:ascii="宋体" w:hAnsi="宋体" w:eastAsia="宋体" w:cs="宋体"/>
                <w:b w:val="0"/>
                <w:bCs w:val="0"/>
                <w:color w:val="auto"/>
                <w:sz w:val="24"/>
                <w:szCs w:val="24"/>
                <w:u w:val="none"/>
                <w:lang w:val="en-US" w:eastAsia="zh-CN"/>
              </w:rPr>
              <w:t>7.4</w:t>
            </w:r>
          </w:p>
        </w:tc>
        <w:tc>
          <w:tcPr>
            <w:tcW w:w="10802" w:type="dxa"/>
          </w:tcPr>
          <w:p>
            <w:pPr>
              <w:numPr>
                <w:ilvl w:val="0"/>
                <w:numId w:val="0"/>
              </w:numPr>
              <w:ind w:leftChars="0"/>
              <w:rPr>
                <w:rFonts w:hint="eastAsia" w:ascii="宋体" w:hAnsi="宋体" w:eastAsia="宋体" w:cs="宋体"/>
                <w:sz w:val="24"/>
                <w:szCs w:val="24"/>
                <w:lang w:val="en-US" w:eastAsia="zh-CN"/>
              </w:rPr>
            </w:pPr>
            <w:r>
              <w:rPr>
                <w:rFonts w:hint="eastAsia" w:ascii="宋体" w:hAnsi="宋体" w:cs="宋体"/>
                <w:sz w:val="24"/>
                <w:szCs w:val="24"/>
                <w:lang w:val="en-US" w:eastAsia="zh-CN"/>
              </w:rPr>
              <w:t>本部门</w:t>
            </w:r>
            <w:r>
              <w:rPr>
                <w:rFonts w:hint="eastAsia" w:ascii="宋体" w:hAnsi="宋体" w:eastAsia="宋体" w:cs="宋体"/>
                <w:sz w:val="24"/>
                <w:szCs w:val="24"/>
              </w:rPr>
              <w:t>负责能源信息的传递</w:t>
            </w:r>
            <w:r>
              <w:rPr>
                <w:rFonts w:hint="eastAsia" w:ascii="宋体" w:hAnsi="宋体" w:eastAsia="宋体" w:cs="宋体"/>
                <w:sz w:val="24"/>
                <w:szCs w:val="24"/>
                <w:lang w:val="en-US" w:eastAsia="zh-CN"/>
              </w:rPr>
              <w:t>及</w:t>
            </w:r>
            <w:r>
              <w:rPr>
                <w:rFonts w:hint="eastAsia" w:ascii="宋体" w:hAnsi="宋体" w:eastAsia="宋体" w:cs="宋体"/>
                <w:sz w:val="24"/>
                <w:szCs w:val="24"/>
              </w:rPr>
              <w:t>交流；</w:t>
            </w:r>
            <w:r>
              <w:rPr>
                <w:rFonts w:hint="eastAsia" w:ascii="宋体" w:hAnsi="宋体" w:eastAsia="宋体" w:cs="宋体"/>
                <w:sz w:val="24"/>
                <w:szCs w:val="24"/>
                <w:lang w:val="en-US" w:eastAsia="zh-CN"/>
              </w:rPr>
              <w:t>通过</w:t>
            </w:r>
            <w:r>
              <w:rPr>
                <w:rFonts w:hint="eastAsia" w:ascii="宋体" w:hAnsi="宋体" w:eastAsia="宋体" w:cs="宋体"/>
                <w:sz w:val="24"/>
                <w:szCs w:val="24"/>
              </w:rPr>
              <w:t>建立实施和保持适当的信息交流沟通</w:t>
            </w:r>
            <w:r>
              <w:rPr>
                <w:rFonts w:hint="eastAsia" w:ascii="宋体" w:hAnsi="宋体" w:eastAsia="宋体" w:cs="宋体"/>
                <w:sz w:val="24"/>
                <w:szCs w:val="24"/>
                <w:lang w:eastAsia="zh-CN"/>
              </w:rPr>
              <w:t>、</w:t>
            </w:r>
            <w:r>
              <w:rPr>
                <w:rFonts w:hint="eastAsia" w:ascii="宋体" w:hAnsi="宋体" w:eastAsia="宋体" w:cs="宋体"/>
                <w:sz w:val="24"/>
                <w:szCs w:val="24"/>
              </w:rPr>
              <w:t>确保</w:t>
            </w:r>
            <w:r>
              <w:rPr>
                <w:rFonts w:hint="eastAsia" w:ascii="宋体" w:hAnsi="宋体" w:eastAsia="宋体" w:cs="宋体"/>
                <w:sz w:val="24"/>
                <w:szCs w:val="24"/>
                <w:lang w:val="en-US" w:eastAsia="zh-CN"/>
              </w:rPr>
              <w:t>了</w:t>
            </w:r>
            <w:r>
              <w:rPr>
                <w:rFonts w:hint="eastAsia" w:ascii="宋体" w:hAnsi="宋体" w:eastAsia="宋体" w:cs="宋体"/>
                <w:sz w:val="24"/>
                <w:szCs w:val="24"/>
              </w:rPr>
              <w:t>公司内部以及与外部相关方的联系和回应</w:t>
            </w:r>
            <w:r>
              <w:rPr>
                <w:rFonts w:hint="eastAsia" w:ascii="宋体" w:hAnsi="宋体" w:eastAsia="宋体" w:cs="宋体"/>
                <w:sz w:val="24"/>
                <w:szCs w:val="24"/>
                <w:lang w:eastAsia="zh-CN"/>
              </w:rPr>
              <w:t>、</w:t>
            </w:r>
            <w:r>
              <w:rPr>
                <w:rFonts w:hint="eastAsia" w:ascii="宋体" w:hAnsi="宋体" w:eastAsia="宋体" w:cs="宋体"/>
                <w:sz w:val="24"/>
                <w:szCs w:val="24"/>
              </w:rPr>
              <w:t>保证能源管理体系的有效运行</w:t>
            </w:r>
            <w:r>
              <w:rPr>
                <w:rFonts w:hint="eastAsia" w:ascii="宋体" w:hAnsi="宋体" w:cs="宋体"/>
                <w:sz w:val="24"/>
                <w:szCs w:val="24"/>
                <w:lang w:eastAsia="zh-CN"/>
              </w:rPr>
              <w:t>、</w:t>
            </w:r>
            <w:r>
              <w:rPr>
                <w:rFonts w:hint="eastAsia" w:ascii="宋体" w:hAnsi="宋体" w:eastAsia="宋体" w:cs="宋体"/>
                <w:sz w:val="24"/>
                <w:szCs w:val="24"/>
                <w:lang w:val="en-US" w:eastAsia="zh-CN"/>
              </w:rPr>
              <w:t>其中：</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u w:val="single"/>
              </w:rPr>
              <w:t>内部信息</w:t>
            </w:r>
            <w:r>
              <w:rPr>
                <w:rFonts w:hint="eastAsia" w:ascii="宋体" w:hAnsi="宋体" w:eastAsia="宋体" w:cs="宋体"/>
                <w:sz w:val="24"/>
                <w:szCs w:val="24"/>
                <w:u w:val="single"/>
                <w:lang w:val="en-US" w:eastAsia="zh-CN"/>
              </w:rPr>
              <w:t>交</w:t>
            </w:r>
            <w:r>
              <w:rPr>
                <w:rFonts w:hint="eastAsia" w:ascii="宋体" w:hAnsi="宋体" w:eastAsia="宋体" w:cs="宋体"/>
                <w:sz w:val="24"/>
                <w:szCs w:val="24"/>
                <w:lang w:val="en-US" w:eastAsia="zh-CN"/>
              </w:rPr>
              <w:t>流：</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rPr>
              <w:t>法律法规、标准及其他要求、目标、指标及管理方案的实施、能源基准及能源绩效参数、体系运行的监测结果、内审和管理评审的结果，由运行保障中心传达到各部门；</w:t>
            </w:r>
            <w:r>
              <w:rPr>
                <w:rFonts w:hint="eastAsia" w:ascii="宋体" w:hAnsi="宋体" w:eastAsia="宋体" w:cs="宋体"/>
                <w:sz w:val="24"/>
                <w:szCs w:val="24"/>
                <w:lang w:val="en-US" w:eastAsia="zh-CN"/>
              </w:rPr>
              <w:t xml:space="preserve"> </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另内部能源体系宣传教育包括：节能形势政策；节约能源带来的社会和经济效益；交流节能技术；节能知识竞赛；组建节能小组；征集合理化建议；评选节能先进；</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u w:val="single"/>
              </w:rPr>
              <w:t>外部信息</w:t>
            </w:r>
            <w:r>
              <w:rPr>
                <w:rFonts w:hint="eastAsia" w:ascii="宋体" w:hAnsi="宋体" w:eastAsia="宋体" w:cs="宋体"/>
                <w:sz w:val="24"/>
                <w:szCs w:val="24"/>
                <w:u w:val="single"/>
                <w:lang w:val="en-US" w:eastAsia="zh-CN"/>
              </w:rPr>
              <w:t>交</w:t>
            </w:r>
            <w:r>
              <w:rPr>
                <w:rFonts w:hint="eastAsia" w:ascii="宋体" w:hAnsi="宋体" w:eastAsia="宋体" w:cs="宋体"/>
                <w:sz w:val="24"/>
                <w:szCs w:val="24"/>
                <w:lang w:val="en-US" w:eastAsia="zh-CN"/>
              </w:rPr>
              <w:t>流：</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rPr>
              <w:t>从相关方收集</w:t>
            </w:r>
            <w:r>
              <w:rPr>
                <w:rFonts w:hint="eastAsia" w:ascii="宋体" w:hAnsi="宋体" w:eastAsia="宋体" w:cs="宋体"/>
                <w:sz w:val="24"/>
                <w:szCs w:val="24"/>
                <w:lang w:val="en-US" w:eastAsia="zh-CN"/>
              </w:rPr>
              <w:t>、接收的能源供应信息及时传递给相关方；上级部门或相关方需要公司能源信息</w:t>
            </w:r>
            <w:r>
              <w:rPr>
                <w:rFonts w:hint="eastAsia" w:ascii="宋体" w:hAnsi="宋体" w:cs="宋体"/>
                <w:sz w:val="24"/>
                <w:szCs w:val="24"/>
                <w:lang w:val="en-US" w:eastAsia="zh-CN"/>
              </w:rPr>
              <w:t>；</w:t>
            </w:r>
          </w:p>
          <w:p>
            <w:pPr>
              <w:numPr>
                <w:ilvl w:val="0"/>
                <w:numId w:val="0"/>
              </w:numPr>
              <w:ind w:leftChars="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方式：</w:t>
            </w:r>
          </w:p>
          <w:p>
            <w:pPr>
              <w:rPr>
                <w:rFonts w:hint="eastAsia" w:ascii="宋体" w:hAnsi="宋体" w:eastAsia="宋体" w:cs="宋体"/>
                <w:sz w:val="24"/>
                <w:szCs w:val="24"/>
              </w:rPr>
            </w:pPr>
            <w:r>
              <w:rPr>
                <w:rFonts w:hint="eastAsia" w:ascii="宋体" w:hAnsi="宋体" w:eastAsia="宋体" w:cs="宋体"/>
                <w:sz w:val="24"/>
                <w:szCs w:val="24"/>
                <w:lang w:val="en-US" w:eastAsia="zh-CN"/>
              </w:rPr>
              <w:t>会议、公告栏、简报、意见箱、微信群等；</w:t>
            </w:r>
          </w:p>
        </w:tc>
        <w:tc>
          <w:tcPr>
            <w:tcW w:w="787" w:type="dxa"/>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160" w:type="dxa"/>
            <w:vAlign w:val="top"/>
          </w:tcPr>
          <w:p>
            <w:pPr>
              <w:numPr>
                <w:ilvl w:val="0"/>
                <w:numId w:val="0"/>
              </w:numPr>
              <w:ind w:left="0" w:leftChars="0" w:firstLine="0" w:firstLineChars="0"/>
            </w:pPr>
            <w:r>
              <w:rPr>
                <w:rFonts w:hint="eastAsia" w:ascii="宋体" w:hAnsi="宋体" w:eastAsia="宋体" w:cs="宋体"/>
                <w:b w:val="0"/>
                <w:bCs w:val="0"/>
                <w:color w:val="auto"/>
                <w:sz w:val="24"/>
                <w:szCs w:val="24"/>
                <w:u w:val="none"/>
                <w:lang w:val="en-US" w:eastAsia="zh-CN"/>
              </w:rPr>
              <w:t>文件化信息</w:t>
            </w:r>
          </w:p>
        </w:tc>
        <w:tc>
          <w:tcPr>
            <w:tcW w:w="960" w:type="dxa"/>
            <w:vAlign w:val="top"/>
          </w:tcPr>
          <w:p>
            <w:pPr>
              <w:numPr>
                <w:ilvl w:val="0"/>
                <w:numId w:val="0"/>
              </w:numPr>
              <w:ind w:left="0" w:leftChars="0" w:firstLine="0" w:firstLineChars="0"/>
            </w:pPr>
            <w:r>
              <w:rPr>
                <w:rFonts w:hint="eastAsia" w:ascii="宋体" w:hAnsi="宋体" w:eastAsia="宋体" w:cs="宋体"/>
                <w:b w:val="0"/>
                <w:bCs w:val="0"/>
                <w:color w:val="auto"/>
                <w:sz w:val="24"/>
                <w:szCs w:val="24"/>
                <w:u w:val="none"/>
                <w:lang w:val="en-US" w:eastAsia="zh-CN"/>
              </w:rPr>
              <w:t xml:space="preserve">7.5 </w:t>
            </w:r>
          </w:p>
        </w:tc>
        <w:tc>
          <w:tcPr>
            <w:tcW w:w="10802" w:type="dxa"/>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公司对管理体系文件控制进行了策划，形成了文件化的管理手册、程序文件、三层次管理文件以及所要求的记录。</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公司编制的程序文件符合标准要求的所有程序文件，第三层次文件对体系及其相互关系在手册中做了描述，记录表单满足公司目前的管理体系运行的需要。</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公司文件分类：一级文件：管理手册。</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二级文件：公司编制了程序文件，包括</w:t>
            </w:r>
            <w:r>
              <w:rPr>
                <w:rFonts w:hint="eastAsia" w:ascii="宋体" w:hAnsi="宋体" w:cs="宋体"/>
                <w:color w:val="auto"/>
                <w:sz w:val="24"/>
                <w:szCs w:val="24"/>
                <w:lang w:val="en-US" w:eastAsia="zh-CN"/>
              </w:rPr>
              <w:t>能源</w:t>
            </w:r>
            <w:r>
              <w:rPr>
                <w:rFonts w:hint="eastAsia" w:ascii="宋体" w:hAnsi="宋体" w:eastAsia="宋体" w:cs="宋体"/>
                <w:color w:val="auto"/>
                <w:sz w:val="24"/>
                <w:szCs w:val="24"/>
                <w:lang w:val="en-US" w:eastAsia="zh-CN"/>
              </w:rPr>
              <w:t>标准要求的所有程序。</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三层次文件：制度和作业指导书，外来文件：包括产品国家标准，</w:t>
            </w:r>
            <w:r>
              <w:rPr>
                <w:rFonts w:hint="eastAsia" w:ascii="宋体" w:hAnsi="宋体" w:cs="宋体"/>
                <w:color w:val="auto"/>
                <w:sz w:val="24"/>
                <w:szCs w:val="24"/>
                <w:lang w:val="en-US" w:eastAsia="zh-CN"/>
              </w:rPr>
              <w:t>能源</w:t>
            </w:r>
            <w:r>
              <w:rPr>
                <w:rFonts w:hint="eastAsia" w:ascii="宋体" w:hAnsi="宋体" w:eastAsia="宋体" w:cs="宋体"/>
                <w:color w:val="auto"/>
                <w:sz w:val="24"/>
                <w:szCs w:val="24"/>
                <w:lang w:val="en-US" w:eastAsia="zh-CN"/>
              </w:rPr>
              <w:t>及运行记录，满足公司目前的管理体系运行的需要。体系文件基本能保证有效性和效率的要求。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查公司按照文审要求对管理手册进行了修改，符合要求。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公司编制并实施了《文件管理程序》，文件包括：手册、程序文件及产品生产过程质量检查考核标准、固废管理制度、安全教育管理制度等。</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查管理手册、程序文件等文件，编制：办公室，批准：总经理，查文件编审批齐全、文件清晰符合文件控制程序基本要求。查管理部文件，为有效版本。</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查外来文件：与产品要求和质量、环境、职业健康安全管理体系运行有关的国家法律法规、标准等；行业、地方颁布的条例、标准、规范、规程、办法等，查外来文件具体有</w:t>
            </w:r>
            <w:r>
              <w:rPr>
                <w:rFonts w:hint="eastAsia" w:ascii="宋体" w:hAnsi="宋体" w:cs="宋体"/>
                <w:color w:val="auto"/>
                <w:sz w:val="24"/>
                <w:szCs w:val="24"/>
                <w:lang w:val="en-US" w:eastAsia="zh-CN"/>
              </w:rPr>
              <w:t>能源</w:t>
            </w:r>
            <w:r>
              <w:rPr>
                <w:rFonts w:hint="eastAsia" w:ascii="宋体" w:hAnsi="宋体" w:eastAsia="宋体" w:cs="宋体"/>
                <w:color w:val="auto"/>
                <w:sz w:val="24"/>
                <w:szCs w:val="24"/>
                <w:lang w:val="en-US" w:eastAsia="zh-CN"/>
              </w:rPr>
              <w:t>体系标准等，如《中华人民共和国节约能源法》、《企业能源审计技术通则》、《GBT2589《综合能耗计算通则》》、《GBT 15587-2008 工业企业能源管理导则》、《GBT 13234-2009 企业节能量计算方法》等。</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查文件发放：</w:t>
            </w:r>
            <w:r>
              <w:rPr>
                <w:rFonts w:hint="eastAsia" w:ascii="宋体" w:hAnsi="宋体" w:cs="宋体"/>
                <w:color w:val="auto"/>
                <w:sz w:val="24"/>
                <w:szCs w:val="24"/>
                <w:lang w:val="en-US" w:eastAsia="zh-CN"/>
              </w:rPr>
              <w:t>综合办</w:t>
            </w:r>
            <w:r>
              <w:rPr>
                <w:rFonts w:hint="eastAsia" w:ascii="宋体" w:hAnsi="宋体" w:eastAsia="宋体" w:cs="宋体"/>
                <w:color w:val="auto"/>
                <w:sz w:val="24"/>
                <w:szCs w:val="24"/>
                <w:lang w:val="en-US" w:eastAsia="zh-CN"/>
              </w:rPr>
              <w:t>下发了</w:t>
            </w:r>
            <w:r>
              <w:rPr>
                <w:rFonts w:hint="eastAsia" w:ascii="宋体" w:hAnsi="宋体" w:cs="宋体"/>
                <w:color w:val="auto"/>
                <w:sz w:val="24"/>
                <w:szCs w:val="24"/>
                <w:lang w:val="en-US" w:eastAsia="zh-CN"/>
              </w:rPr>
              <w:t>能源</w:t>
            </w:r>
            <w:r>
              <w:rPr>
                <w:rFonts w:hint="eastAsia" w:ascii="宋体" w:hAnsi="宋体" w:eastAsia="宋体" w:cs="宋体"/>
                <w:color w:val="auto"/>
                <w:sz w:val="24"/>
                <w:szCs w:val="24"/>
                <w:lang w:val="en-US" w:eastAsia="zh-CN"/>
              </w:rPr>
              <w:t>管理手册、程序文件等文件。</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查管理部文件有标识，检索方便，文件夹存放于文件柜内，防护符合要求。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公司按《记录管理程序》实施对管理体系记录的标识、贮存、保护、检索、保存期限和处置等按规定实施。</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公司提供《记录清单》包括有内审报告、供方评价表、管理评审报告等记录。明确了记录名称、编号、使用保存部门、保存期限等，并经审核后使用。</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公司各种记录由各使用部门保存，查阅管理部保存的记录环境情况，归档文件、记录存放于文件柜内，环境干燥、通风，符合文件归档的要求。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抽查归档文件整理情况，管理部已将文件进行了分类，按记录的名称、编号及时间装文件袋进行归档，记录清洁，字迹清晰，检索方便，抽查有内部审核资料、管理评审资料等，均已装订成册。</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提供了作废文件记录：有作废理由、作废日期及申请部门、审核人签字，目前无作废文件记录。</w:t>
            </w:r>
          </w:p>
          <w:p>
            <w:pPr>
              <w:rPr>
                <w:rFonts w:hint="eastAsia" w:ascii="宋体" w:hAnsi="宋体" w:eastAsia="宋体" w:cs="宋体"/>
                <w:sz w:val="24"/>
                <w:szCs w:val="24"/>
              </w:rPr>
            </w:pPr>
            <w:r>
              <w:rPr>
                <w:rFonts w:hint="eastAsia" w:ascii="宋体" w:hAnsi="宋体" w:eastAsia="宋体" w:cs="宋体"/>
                <w:color w:val="auto"/>
                <w:sz w:val="24"/>
                <w:szCs w:val="24"/>
                <w:lang w:val="en-US" w:eastAsia="zh-CN"/>
              </w:rPr>
              <w:t>文件记录控制基本有效。</w:t>
            </w:r>
          </w:p>
        </w:tc>
        <w:tc>
          <w:tcPr>
            <w:tcW w:w="787" w:type="dxa"/>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能源绩效和EnMS的监视、测量、分析和评价</w:t>
            </w:r>
          </w:p>
          <w:p>
            <w:pPr>
              <w:numPr>
                <w:ilvl w:val="0"/>
                <w:numId w:val="0"/>
              </w:numPr>
              <w:rPr>
                <w:rFonts w:hint="eastAsia" w:ascii="宋体" w:hAnsi="宋体" w:eastAsia="宋体" w:cs="宋体"/>
                <w:sz w:val="24"/>
                <w:szCs w:val="24"/>
                <w:lang w:val="en-US" w:eastAsia="zh-CN"/>
              </w:rPr>
            </w:pPr>
          </w:p>
        </w:tc>
        <w:tc>
          <w:tcPr>
            <w:tcW w:w="960" w:type="dxa"/>
            <w:vAlign w:val="top"/>
          </w:tcPr>
          <w:p>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9.1.1</w:t>
            </w:r>
          </w:p>
        </w:tc>
        <w:tc>
          <w:tcPr>
            <w:tcW w:w="10802" w:type="dxa"/>
          </w:tcPr>
          <w:p>
            <w:pPr>
              <w:numPr>
                <w:ilvl w:val="0"/>
                <w:numId w:val="0"/>
              </w:numPr>
              <w:rPr>
                <w:rFonts w:hint="default" w:ascii="宋体" w:hAnsi="宋体" w:eastAsia="宋体" w:cs="宋体"/>
                <w:sz w:val="24"/>
                <w:szCs w:val="24"/>
                <w:lang w:val="en-US" w:eastAsia="zh-CN"/>
              </w:rPr>
            </w:pPr>
            <w:r>
              <w:rPr>
                <w:rFonts w:hint="eastAsia" w:ascii="宋体" w:hAnsi="宋体" w:cs="宋体"/>
                <w:sz w:val="24"/>
                <w:szCs w:val="24"/>
                <w:lang w:val="en-US" w:eastAsia="zh-CN"/>
              </w:rPr>
              <w:t>查《监视测量程序》规定的监测项目包括：</w:t>
            </w:r>
            <w:r>
              <w:rPr>
                <w:rFonts w:hint="eastAsia" w:ascii="宋体" w:hAnsi="宋体" w:eastAsia="宋体" w:cs="宋体"/>
                <w:sz w:val="24"/>
                <w:szCs w:val="24"/>
                <w:lang w:val="en-US" w:eastAsia="zh-CN"/>
              </w:rPr>
              <w:t>行动方案在实现目标和能源指标方面的有效性；能源绩效参数EnPI（S）；主要能源使用（SEUs）的运行；实际能耗与预期能耗的对比评价；</w:t>
            </w:r>
            <w:r>
              <w:rPr>
                <w:rFonts w:hint="eastAsia" w:ascii="宋体" w:hAnsi="宋体" w:cs="宋体"/>
                <w:sz w:val="24"/>
                <w:szCs w:val="24"/>
                <w:lang w:val="en-US" w:eastAsia="zh-CN"/>
              </w:rPr>
              <w:t>确定了</w:t>
            </w:r>
            <w:r>
              <w:rPr>
                <w:rFonts w:hint="eastAsia" w:ascii="宋体" w:hAnsi="宋体" w:eastAsia="宋体" w:cs="宋体"/>
                <w:sz w:val="24"/>
                <w:szCs w:val="24"/>
                <w:lang w:val="en-US" w:eastAsia="zh-CN"/>
              </w:rPr>
              <w:t>适用时的监视、测量、分析和评价方法</w:t>
            </w:r>
            <w:r>
              <w:rPr>
                <w:rFonts w:hint="eastAsia" w:ascii="宋体" w:hAnsi="宋体" w:cs="宋体"/>
                <w:sz w:val="24"/>
                <w:szCs w:val="24"/>
                <w:lang w:val="en-US" w:eastAsia="zh-CN"/>
              </w:rPr>
              <w:t>——详见《初始能源评审报告》</w:t>
            </w:r>
          </w:p>
          <w:p>
            <w:pPr>
              <w:numPr>
                <w:ilvl w:val="0"/>
                <w:numId w:val="0"/>
              </w:numPr>
              <w:rPr>
                <w:rFonts w:hint="eastAsia" w:ascii="宋体" w:hAnsi="宋体" w:eastAsia="宋体" w:cs="宋体"/>
                <w:sz w:val="24"/>
                <w:szCs w:val="24"/>
                <w:lang w:val="en-US" w:eastAsia="zh-CN"/>
              </w:rPr>
            </w:pPr>
            <w:r>
              <w:rPr>
                <w:rFonts w:hint="eastAsia" w:ascii="宋体" w:hAnsi="宋体" w:cs="宋体"/>
                <w:sz w:val="24"/>
                <w:szCs w:val="24"/>
                <w:lang w:val="en-US" w:eastAsia="zh-CN"/>
              </w:rPr>
              <w:t>组织</w:t>
            </w:r>
            <w:r>
              <w:rPr>
                <w:rFonts w:hint="eastAsia" w:ascii="宋体" w:hAnsi="宋体" w:eastAsia="宋体" w:cs="宋体"/>
                <w:sz w:val="24"/>
                <w:szCs w:val="24"/>
                <w:lang w:val="en-US" w:eastAsia="zh-CN"/>
              </w:rPr>
              <w:t>通过比较能源绩效参数值（EnPI值）和相应的能源基准评价能源绩效的改进</w:t>
            </w:r>
            <w:r>
              <w:rPr>
                <w:rFonts w:hint="eastAsia" w:ascii="宋体" w:hAnsi="宋体" w:cs="宋体"/>
                <w:sz w:val="24"/>
                <w:szCs w:val="24"/>
                <w:lang w:val="en-US" w:eastAsia="zh-CN"/>
              </w:rPr>
              <w:t>（能源评审报告）</w:t>
            </w:r>
            <w:r>
              <w:rPr>
                <w:rFonts w:hint="eastAsia" w:ascii="宋体" w:hAnsi="宋体" w:eastAsia="宋体" w:cs="宋体"/>
                <w:sz w:val="24"/>
                <w:szCs w:val="24"/>
                <w:lang w:val="en-US" w:eastAsia="zh-CN"/>
              </w:rPr>
              <w:t>。</w:t>
            </w:r>
          </w:p>
          <w:p>
            <w:pPr>
              <w:rPr>
                <w:rFonts w:hint="default" w:ascii="宋体" w:hAnsi="宋体" w:eastAsia="宋体" w:cs="宋体"/>
                <w:sz w:val="24"/>
                <w:szCs w:val="24"/>
                <w:lang w:val="en-US"/>
              </w:rPr>
            </w:pPr>
            <w:r>
              <w:rPr>
                <w:rFonts w:hint="eastAsia" w:ascii="宋体" w:hAnsi="宋体" w:cs="宋体"/>
                <w:sz w:val="24"/>
                <w:szCs w:val="24"/>
                <w:lang w:val="en-US" w:eastAsia="zh-CN"/>
              </w:rPr>
              <w:t>本部门会同生产部对</w:t>
            </w:r>
            <w:r>
              <w:rPr>
                <w:rFonts w:hint="eastAsia" w:ascii="宋体" w:hAnsi="宋体" w:eastAsia="宋体" w:cs="宋体"/>
                <w:sz w:val="24"/>
                <w:szCs w:val="24"/>
                <w:lang w:val="en-US" w:eastAsia="zh-CN"/>
              </w:rPr>
              <w:t>能源绩效中的重大偏差</w:t>
            </w:r>
            <w:r>
              <w:rPr>
                <w:rFonts w:hint="eastAsia" w:ascii="宋体" w:hAnsi="宋体" w:cs="宋体"/>
                <w:sz w:val="24"/>
                <w:szCs w:val="24"/>
                <w:lang w:val="en-US" w:eastAsia="zh-CN"/>
              </w:rPr>
              <w:t>进行</w:t>
            </w:r>
            <w:r>
              <w:rPr>
                <w:rFonts w:hint="eastAsia" w:ascii="宋体" w:hAnsi="宋体" w:eastAsia="宋体" w:cs="宋体"/>
                <w:sz w:val="24"/>
                <w:szCs w:val="24"/>
                <w:lang w:val="en-US" w:eastAsia="zh-CN"/>
              </w:rPr>
              <w:t>调查并采取应对措施</w:t>
            </w:r>
            <w:r>
              <w:rPr>
                <w:rFonts w:hint="eastAsia" w:ascii="宋体" w:hAnsi="宋体" w:cs="宋体"/>
                <w:sz w:val="24"/>
                <w:szCs w:val="24"/>
                <w:lang w:val="en-US" w:eastAsia="zh-CN"/>
              </w:rPr>
              <w:t>；现场查监视测量记录清晰准确、符合规定；</w:t>
            </w:r>
          </w:p>
        </w:tc>
        <w:tc>
          <w:tcPr>
            <w:tcW w:w="787" w:type="dxa"/>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numPr>
                <w:ilvl w:val="0"/>
                <w:numId w:val="0"/>
              </w:numPr>
              <w:rPr>
                <w:rFonts w:hint="default" w:ascii="宋体" w:hAnsi="宋体" w:eastAsia="宋体" w:cs="宋体"/>
                <w:sz w:val="24"/>
                <w:szCs w:val="24"/>
                <w:lang w:val="en-US" w:eastAsia="zh-CN"/>
              </w:rPr>
            </w:pPr>
            <w:r>
              <w:rPr>
                <w:rFonts w:hint="eastAsia" w:ascii="宋体" w:hAnsi="宋体" w:cs="宋体"/>
                <w:sz w:val="24"/>
                <w:szCs w:val="24"/>
                <w:lang w:val="en-US" w:eastAsia="zh-CN"/>
              </w:rPr>
              <w:t>法律法规的合规性评价</w:t>
            </w:r>
          </w:p>
        </w:tc>
        <w:tc>
          <w:tcPr>
            <w:tcW w:w="960" w:type="dxa"/>
            <w:vAlign w:val="top"/>
          </w:tcPr>
          <w:p>
            <w:pPr>
              <w:numPr>
                <w:ilvl w:val="0"/>
                <w:numId w:val="0"/>
              </w:numPr>
              <w:rPr>
                <w:rFonts w:hint="default" w:ascii="宋体" w:hAnsi="宋体" w:eastAsia="宋体" w:cs="宋体"/>
                <w:sz w:val="24"/>
                <w:szCs w:val="24"/>
                <w:lang w:val="en-US" w:eastAsia="zh-CN"/>
              </w:rPr>
            </w:pPr>
            <w:r>
              <w:rPr>
                <w:rFonts w:hint="eastAsia" w:ascii="宋体" w:hAnsi="宋体" w:cs="宋体"/>
                <w:sz w:val="24"/>
                <w:szCs w:val="24"/>
                <w:lang w:val="en-US" w:eastAsia="zh-CN"/>
              </w:rPr>
              <w:t>9.1.2</w:t>
            </w:r>
          </w:p>
        </w:tc>
        <w:tc>
          <w:tcPr>
            <w:tcW w:w="10802" w:type="dxa"/>
          </w:tcPr>
          <w:p>
            <w:pPr>
              <w:spacing w:line="240" w:lineRule="atLeast"/>
            </w:pPr>
            <w:r>
              <w:rPr>
                <w:rFonts w:hint="eastAsia"/>
              </w:rPr>
              <w:t>组织在“初始能源评审”</w:t>
            </w:r>
            <w:r>
              <w:t xml:space="preserve"> </w:t>
            </w:r>
            <w:r>
              <w:rPr>
                <w:rFonts w:hint="eastAsia"/>
              </w:rPr>
              <w:t>中还编入了《合规性评价报告》查其中内容包含：“法律法规标准和其他要求的获取、法律法规和其他要求的遵守（符合国家农药产业发展政策、公司班组车间成立管理机构及岗位培训、严格执行国家用能设备能效标准及产品能耗限额标准、淘汰落后和国家明令禁止只用产品设备和生产工艺、执行国家行业及地方能耗限额标准主要用能设备的能效系数对标的符合、目标责任制的建立等）”；</w:t>
            </w:r>
          </w:p>
          <w:p>
            <w:pPr>
              <w:spacing w:line="240" w:lineRule="atLeast"/>
            </w:pPr>
            <w:r>
              <w:rPr>
                <w:rFonts w:hint="eastAsia"/>
              </w:rPr>
              <w:t>评价结论“公司能源管理基本符合相关法律法规和其他要求”；</w:t>
            </w:r>
          </w:p>
          <w:p>
            <w:pPr>
              <w:rPr>
                <w:rFonts w:hint="eastAsia"/>
              </w:rPr>
            </w:pPr>
            <w:r>
              <w:t>——</w:t>
            </w:r>
            <w:r>
              <w:rPr>
                <w:rFonts w:hint="eastAsia"/>
              </w:rPr>
              <w:t>查内容基本真实、符合识别的法律法规和其他要求的内容；报告有编审批“朱俊”、日期“</w:t>
            </w:r>
            <w:r>
              <w:t>2020.</w:t>
            </w:r>
            <w:r>
              <w:rPr>
                <w:rFonts w:hint="eastAsia"/>
                <w:lang w:val="en-US" w:eastAsia="zh-CN"/>
              </w:rPr>
              <w:t>11.10</w:t>
            </w:r>
            <w:r>
              <w:t>.</w:t>
            </w:r>
            <w:r>
              <w:rPr>
                <w:rFonts w:hint="eastAsia"/>
              </w:rPr>
              <w:t>”；</w:t>
            </w:r>
          </w:p>
          <w:p>
            <w:pPr>
              <w:pStyle w:val="3"/>
              <w:rPr>
                <w:rFonts w:hint="default" w:eastAsia="宋体"/>
                <w:lang w:val="en-US" w:eastAsia="zh-CN"/>
              </w:rPr>
            </w:pPr>
            <w:r>
              <w:rPr>
                <w:rFonts w:hint="eastAsia" w:ascii="宋体" w:hAnsi="宋体" w:cs="宋体"/>
                <w:sz w:val="21"/>
                <w:szCs w:val="21"/>
                <w:lang w:val="en-US" w:eastAsia="zh-CN"/>
              </w:rPr>
              <w:t>经现场检查：</w:t>
            </w:r>
            <w:r>
              <w:rPr>
                <w:rFonts w:hint="eastAsia" w:ascii="方正仿宋简体" w:eastAsia="方正仿宋简体"/>
                <w:b/>
                <w:color w:val="auto"/>
                <w:lang w:eastAsia="zh-CN"/>
              </w:rPr>
              <w:t>《</w:t>
            </w:r>
            <w:r>
              <w:rPr>
                <w:rFonts w:hint="eastAsia" w:ascii="方正仿宋简体" w:eastAsia="方正仿宋简体"/>
                <w:b/>
                <w:color w:val="auto"/>
                <w:lang w:val="en-US" w:eastAsia="zh-CN"/>
              </w:rPr>
              <w:t>法律法规及其他要求》清单中“中华人民共和国能源节约法”已经失效.</w:t>
            </w:r>
          </w:p>
        </w:tc>
        <w:tc>
          <w:tcPr>
            <w:tcW w:w="787" w:type="dxa"/>
          </w:tcPr>
          <w:p>
            <w:pPr>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default"/>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numPr>
                <w:ilvl w:val="0"/>
                <w:numId w:val="0"/>
              </w:numPr>
              <w:ind w:left="0" w:leftChars="0" w:firstLine="0" w:firstLineChars="0"/>
            </w:pPr>
            <w:r>
              <w:rPr>
                <w:rFonts w:hint="eastAsia" w:ascii="宋体" w:hAnsi="宋体" w:eastAsia="宋体" w:cs="宋体"/>
                <w:b w:val="0"/>
                <w:bCs w:val="0"/>
                <w:color w:val="auto"/>
                <w:sz w:val="24"/>
                <w:szCs w:val="24"/>
                <w:u w:val="none"/>
                <w:lang w:val="en-US" w:eastAsia="zh-CN"/>
              </w:rPr>
              <w:t>内部审核</w:t>
            </w:r>
          </w:p>
        </w:tc>
        <w:tc>
          <w:tcPr>
            <w:tcW w:w="960" w:type="dxa"/>
            <w:vAlign w:val="top"/>
          </w:tcPr>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9.2 </w:t>
            </w:r>
          </w:p>
        </w:tc>
        <w:tc>
          <w:tcPr>
            <w:tcW w:w="10802" w:type="dxa"/>
          </w:tcPr>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编制了《2020年内部审核计划》查“审核目的”、“审核依据”——基本符合标准要求、审核安排时间2020年11月20～21日；有“审核日程安排表”具体到日期下的审核部门和审核员等内容；未见审核员自己审核本部门的情况；计划有编审批；组长林智峰、组员杨金平尉晓光；计划覆盖全部部门和产品活动、计划批准田敏锋； </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"mailto:提供《首、末次会议签到表》有包括总经理等9人签字信息；日期2017.8.1.@2017.8.3.；"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提供《首、末次会议签到表》有包括张成根黄祥政刘建立等6人签字信息；</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提供《检查单》6份、抽查1条、管理层、审核条款“4.1/4.2/4.3/4.4/5.1/5.2/7.1/9.3</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/10.2”等——查基本符合策划的安排、条款检查内容基本符合标准要求、未见明显不符合情况；审核员杨金平、迎审田敏锋；</w:t>
            </w:r>
          </w:p>
          <w:p>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本次内审无不符合项；</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和提供了《内部审核报告》包含了本次审核的“目的、范围、准则和概述”——查评价基本覆盖体系范围内相关内容、包括能源方针目标指标的实现情况、能源基准绩效参数的确定、高耗能设备安全经济运行准则的执行、生产计划的安排关注季节性对能源消耗的影响对1项不符合提出了整改意见和纠正措施和预防措施的要求、法律法规和其他要求的执行情况等；提出的问题与改进措施“标准和工作内容结合不够、经济运行控制仍不到位”；审核结论：公司能源管理体系基本符合ISO50001标准要求，能源方针目标基本适宜、体系运行基本符合要求；编制批准林智峰、2020.11.21；</w:t>
            </w:r>
          </w:p>
        </w:tc>
        <w:tc>
          <w:tcPr>
            <w:tcW w:w="787"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pPr>
            <w:r>
              <w:rPr>
                <w:rFonts w:hint="eastAsia" w:ascii="宋体" w:hAnsi="宋体" w:eastAsia="宋体" w:cs="宋体"/>
                <w:sz w:val="24"/>
                <w:szCs w:val="24"/>
              </w:rPr>
              <w:t>不符合和纠正措施</w:t>
            </w: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10.1</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pPr>
          </w:p>
        </w:tc>
        <w:tc>
          <w:tcPr>
            <w:tcW w:w="1080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cs="宋体"/>
                <w:color w:val="auto"/>
                <w:sz w:val="24"/>
                <w:szCs w:val="24"/>
                <w:lang w:val="en-US" w:eastAsia="zh-CN"/>
              </w:rPr>
            </w:pPr>
            <w:r>
              <w:rPr>
                <w:rFonts w:hint="eastAsia" w:ascii="宋体" w:hAnsi="宋体" w:eastAsia="宋体" w:cs="宋体"/>
                <w:sz w:val="24"/>
                <w:szCs w:val="24"/>
                <w:lang w:val="en-US" w:eastAsia="zh-CN"/>
              </w:rPr>
              <w:t>编</w:t>
            </w:r>
            <w:r>
              <w:rPr>
                <w:rFonts w:hint="eastAsia" w:ascii="宋体" w:hAnsi="宋体" w:eastAsia="宋体" w:cs="宋体"/>
                <w:color w:val="auto"/>
                <w:sz w:val="24"/>
                <w:szCs w:val="24"/>
                <w:lang w:val="en-US" w:eastAsia="zh-CN"/>
              </w:rPr>
              <w:t>制了《</w:t>
            </w:r>
            <w:r>
              <w:rPr>
                <w:rFonts w:hint="eastAsia" w:ascii="宋体" w:hAnsi="宋体" w:eastAsia="宋体" w:cs="宋体"/>
                <w:sz w:val="24"/>
                <w:szCs w:val="24"/>
              </w:rPr>
              <w:t>不符合和纠正措施</w:t>
            </w:r>
            <w:r>
              <w:rPr>
                <w:rFonts w:hint="eastAsia" w:ascii="宋体" w:hAnsi="宋体" w:cs="宋体"/>
                <w:sz w:val="24"/>
                <w:szCs w:val="24"/>
                <w:lang w:val="en-US" w:eastAsia="zh-CN"/>
              </w:rPr>
              <w:t>报告</w:t>
            </w:r>
            <w:r>
              <w:rPr>
                <w:rFonts w:hint="eastAsia" w:ascii="宋体" w:hAnsi="宋体" w:eastAsia="宋体" w:cs="宋体"/>
                <w:color w:val="auto"/>
                <w:sz w:val="24"/>
                <w:szCs w:val="24"/>
                <w:lang w:val="en-US" w:eastAsia="zh-CN"/>
              </w:rPr>
              <w:t>》包括“不符合采取措施控制并纠正；任何纠正措施的结果</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不符合的原因</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性质和采取的任何后续措施；确定是否存在或是否可能发生类似的不符合；实施任何所需的措施；评审所采取的任何纠正措施的有效性；必要时，对能源管理体系进行变更改”</w:t>
            </w:r>
            <w:r>
              <w:rPr>
                <w:rFonts w:hint="eastAsia" w:ascii="宋体" w:hAnsi="宋体" w:cs="宋体"/>
                <w:color w:val="auto"/>
                <w:sz w:val="24"/>
                <w:szCs w:val="24"/>
                <w:lang w:val="en-US" w:eastAsia="zh-CN"/>
              </w:rPr>
              <w:t>等内容；</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cs="宋体"/>
                <w:color w:val="auto"/>
                <w:sz w:val="24"/>
                <w:szCs w:val="24"/>
                <w:lang w:val="en-US" w:eastAsia="zh-CN"/>
              </w:rPr>
              <w:t>本次</w:t>
            </w:r>
            <w:r>
              <w:rPr>
                <w:rFonts w:hint="eastAsia" w:ascii="宋体" w:hAnsi="宋体" w:eastAsia="宋体" w:cs="宋体"/>
                <w:color w:val="auto"/>
                <w:sz w:val="24"/>
                <w:szCs w:val="24"/>
                <w:lang w:val="en-US" w:eastAsia="zh-CN"/>
              </w:rPr>
              <w:t>内审</w:t>
            </w:r>
            <w:r>
              <w:rPr>
                <w:rFonts w:hint="eastAsia" w:ascii="宋体" w:hAnsi="宋体" w:cs="宋体"/>
                <w:color w:val="auto"/>
                <w:sz w:val="24"/>
                <w:szCs w:val="24"/>
                <w:lang w:val="en-US" w:eastAsia="zh-CN"/>
              </w:rPr>
              <w:t>无</w:t>
            </w:r>
            <w:r>
              <w:rPr>
                <w:rFonts w:hint="eastAsia" w:ascii="宋体" w:hAnsi="宋体" w:eastAsia="宋体" w:cs="宋体"/>
                <w:color w:val="auto"/>
                <w:sz w:val="24"/>
                <w:szCs w:val="24"/>
                <w:lang w:val="en-US" w:eastAsia="zh-CN"/>
              </w:rPr>
              <w:t>不符合项</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w:t>
            </w:r>
          </w:p>
        </w:tc>
        <w:tc>
          <w:tcPr>
            <w:tcW w:w="787" w:type="dxa"/>
            <w:vAlign w:val="top"/>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pPr>
            <w:r>
              <w:rPr>
                <w:rFonts w:hint="eastAsia" w:ascii="宋体" w:hAnsi="宋体" w:eastAsia="宋体" w:cs="宋体"/>
                <w:color w:val="auto"/>
                <w:sz w:val="24"/>
                <w:szCs w:val="24"/>
                <w:lang w:val="en-US" w:eastAsia="zh-CN"/>
              </w:rPr>
              <w:t>持续改进</w:t>
            </w: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pPr>
          </w:p>
        </w:tc>
        <w:tc>
          <w:tcPr>
            <w:tcW w:w="1080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szCs w:val="24"/>
                <w:lang w:val="en-US" w:eastAsia="zh-CN"/>
              </w:rPr>
              <w:t>通过对管理评审的审核、确定了组织的质量管理体系的适宜性、充分性和有效性——基本满足标准的要求，组织的持续改进绩效明显</w:t>
            </w:r>
            <w:r>
              <w:rPr>
                <w:rFonts w:hint="eastAsia" w:ascii="宋体" w:hAnsi="宋体" w:cs="宋体"/>
                <w:b w:val="0"/>
                <w:bCs w:val="0"/>
                <w:color w:val="auto"/>
                <w:sz w:val="24"/>
                <w:szCs w:val="24"/>
                <w:lang w:val="en-US" w:eastAsia="zh-CN"/>
              </w:rPr>
              <w:t>；</w:t>
            </w:r>
          </w:p>
        </w:tc>
        <w:tc>
          <w:tcPr>
            <w:tcW w:w="787" w:type="dxa"/>
            <w:vAlign w:val="top"/>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bl>
    <w:p>
      <w:pPr>
        <w:pStyle w:val="7"/>
        <w:rPr>
          <w:sz w:val="21"/>
          <w:szCs w:val="21"/>
        </w:rPr>
      </w:pPr>
    </w:p>
    <w:p>
      <w:pPr>
        <w:pStyle w:val="7"/>
        <w:rPr>
          <w:sz w:val="21"/>
          <w:szCs w:val="21"/>
        </w:rPr>
      </w:pPr>
    </w:p>
    <w:p>
      <w:pPr>
        <w:pStyle w:val="7"/>
        <w:rPr>
          <w:sz w:val="21"/>
          <w:szCs w:val="21"/>
        </w:rPr>
      </w:pPr>
    </w:p>
    <w:p>
      <w:pPr>
        <w:pStyle w:val="7"/>
        <w:rPr>
          <w:sz w:val="21"/>
          <w:szCs w:val="21"/>
        </w:rPr>
      </w:pPr>
    </w:p>
    <w:p>
      <w:pPr>
        <w:pStyle w:val="7"/>
        <w:rPr>
          <w:sz w:val="21"/>
          <w:szCs w:val="21"/>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61"/>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61"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受审核部门：</w:t>
            </w:r>
            <w:r>
              <w:rPr>
                <w:rFonts w:hint="eastAsia" w:ascii="宋体" w:hAnsi="宋体" w:eastAsia="宋体" w:cs="宋体"/>
                <w:sz w:val="24"/>
                <w:szCs w:val="24"/>
                <w:lang w:val="en-US" w:eastAsia="zh-CN"/>
              </w:rPr>
              <w:t xml:space="preserve">财务部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主管</w:t>
            </w:r>
            <w:r>
              <w:rPr>
                <w:rFonts w:hint="eastAsia" w:ascii="宋体" w:hAnsi="宋体" w:eastAsia="宋体" w:cs="宋体"/>
                <w:sz w:val="24"/>
                <w:szCs w:val="24"/>
                <w:lang w:val="en-US" w:eastAsia="zh-CN"/>
              </w:rPr>
              <w:t>领导：</w:t>
            </w:r>
            <w:r>
              <w:rPr>
                <w:rFonts w:hint="eastAsia" w:ascii="宋体" w:hAnsi="宋体" w:eastAsia="宋体" w:cs="宋体"/>
                <w:sz w:val="24"/>
                <w:szCs w:val="24"/>
                <w:lang w:eastAsia="zh-CN"/>
              </w:rPr>
              <w:t>王红军</w:t>
            </w:r>
            <w:r>
              <w:rPr>
                <w:rFonts w:hint="eastAsia" w:ascii="宋体" w:hAnsi="宋体" w:eastAsia="宋体" w:cs="宋体"/>
                <w:sz w:val="24"/>
                <w:szCs w:val="24"/>
                <w:lang w:val="en-US" w:eastAsia="zh-CN"/>
              </w:rPr>
              <w:t xml:space="preserve">            陪同人员：</w:t>
            </w:r>
            <w:r>
              <w:rPr>
                <w:rFonts w:hint="eastAsia" w:ascii="宋体" w:hAnsi="宋体" w:eastAsia="宋体" w:cs="宋体"/>
                <w:sz w:val="24"/>
                <w:szCs w:val="24"/>
                <w:lang w:eastAsia="zh-CN"/>
              </w:rPr>
              <w:t>刘建立</w:t>
            </w:r>
          </w:p>
        </w:tc>
        <w:tc>
          <w:tcPr>
            <w:tcW w:w="8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61" w:type="dxa"/>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 xml:space="preserve">姜小清              </w:t>
            </w:r>
            <w:r>
              <w:rPr>
                <w:rFonts w:hint="eastAsia" w:ascii="宋体" w:hAnsi="宋体" w:eastAsia="宋体" w:cs="宋体"/>
                <w:sz w:val="24"/>
                <w:szCs w:val="24"/>
              </w:rPr>
              <w:t>审核时间：</w:t>
            </w:r>
            <w:r>
              <w:rPr>
                <w:rFonts w:hint="eastAsia" w:ascii="宋体" w:hAnsi="宋体" w:eastAsia="宋体" w:cs="宋体"/>
                <w:sz w:val="24"/>
                <w:szCs w:val="24"/>
                <w:lang w:val="en-US" w:eastAsia="zh-CN"/>
              </w:rPr>
              <w:t>2021.</w:t>
            </w:r>
            <w:r>
              <w:rPr>
                <w:rFonts w:hint="eastAsia" w:ascii="宋体" w:hAnsi="宋体" w:cs="宋体"/>
                <w:sz w:val="24"/>
                <w:szCs w:val="24"/>
                <w:lang w:val="en-US" w:eastAsia="zh-CN"/>
              </w:rPr>
              <w:t>4.3</w:t>
            </w:r>
          </w:p>
        </w:tc>
        <w:tc>
          <w:tcPr>
            <w:tcW w:w="8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160" w:type="dxa"/>
            <w:vMerge w:val="continue"/>
            <w:vAlign w:val="center"/>
          </w:tcPr>
          <w:p/>
        </w:tc>
        <w:tc>
          <w:tcPr>
            <w:tcW w:w="960" w:type="dxa"/>
            <w:vMerge w:val="continue"/>
            <w:vAlign w:val="center"/>
          </w:tcPr>
          <w:p/>
        </w:tc>
        <w:tc>
          <w:tcPr>
            <w:tcW w:w="10761" w:type="dxa"/>
            <w:vAlign w:val="center"/>
          </w:tcPr>
          <w:p>
            <w:pPr>
              <w:rPr>
                <w:sz w:val="24"/>
                <w:szCs w:val="24"/>
              </w:rPr>
            </w:pPr>
            <w:r>
              <w:rPr>
                <w:rFonts w:hint="eastAsia"/>
                <w:sz w:val="24"/>
                <w:szCs w:val="24"/>
              </w:rPr>
              <w:t>审核条款：</w:t>
            </w:r>
            <w:r>
              <w:rPr>
                <w:rFonts w:hint="eastAsia" w:ascii="宋体" w:hAnsi="宋体" w:eastAsia="宋体" w:cs="宋体"/>
                <w:b w:val="0"/>
                <w:bCs w:val="0"/>
                <w:color w:val="auto"/>
                <w:sz w:val="24"/>
                <w:szCs w:val="24"/>
                <w:u w:val="none"/>
                <w:lang w:val="en-US" w:eastAsia="zh-CN"/>
              </w:rPr>
              <w:t>5.3 组织的岗位、职责和权限、6.2 目标、能源指及其实现的策划、8.1 运行的策划和控制；</w:t>
            </w:r>
          </w:p>
        </w:tc>
        <w:tc>
          <w:tcPr>
            <w:tcW w:w="8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组织的岗位、职责和权限</w:t>
            </w:r>
          </w:p>
          <w:p/>
        </w:tc>
        <w:tc>
          <w:tcPr>
            <w:tcW w:w="960" w:type="dxa"/>
            <w:vAlign w:val="top"/>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5.3 </w:t>
            </w:r>
          </w:p>
          <w:p>
            <w:pPr>
              <w:numPr>
                <w:ilvl w:val="0"/>
                <w:numId w:val="0"/>
              </w:numPr>
              <w:rPr>
                <w:rFonts w:hint="eastAsia" w:ascii="宋体" w:hAnsi="宋体" w:eastAsia="宋体" w:cs="宋体"/>
                <w:color w:val="auto"/>
                <w:sz w:val="24"/>
                <w:szCs w:val="24"/>
                <w:lang w:val="en-US" w:eastAsia="zh-CN"/>
              </w:rPr>
            </w:pPr>
          </w:p>
        </w:tc>
        <w:tc>
          <w:tcPr>
            <w:tcW w:w="10761" w:type="dxa"/>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能源</w:t>
            </w:r>
            <w:r>
              <w:rPr>
                <w:rFonts w:hint="eastAsia" w:ascii="宋体" w:hAnsi="宋体" w:eastAsia="宋体" w:cs="宋体"/>
                <w:color w:val="auto"/>
                <w:sz w:val="24"/>
                <w:szCs w:val="24"/>
                <w:u w:val="single"/>
                <w:lang w:val="en-US" w:eastAsia="zh-CN"/>
              </w:rPr>
              <w:t>岗位人员和岗</w:t>
            </w:r>
            <w:r>
              <w:rPr>
                <w:rFonts w:hint="eastAsia" w:ascii="宋体" w:hAnsi="宋体" w:eastAsia="宋体" w:cs="宋体"/>
                <w:color w:val="auto"/>
                <w:sz w:val="24"/>
                <w:szCs w:val="24"/>
                <w:lang w:val="en-US" w:eastAsia="zh-CN"/>
              </w:rPr>
              <w:t>位设置：</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部门共</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人、其中</w:t>
            </w:r>
            <w:r>
              <w:rPr>
                <w:rFonts w:hint="eastAsia" w:ascii="宋体" w:hAnsi="宋体" w:cs="宋体"/>
                <w:color w:val="auto"/>
                <w:sz w:val="24"/>
                <w:szCs w:val="24"/>
                <w:lang w:val="en-US" w:eastAsia="zh-CN"/>
              </w:rPr>
              <w:t>主管和会计财务若干</w:t>
            </w:r>
            <w:r>
              <w:rPr>
                <w:rFonts w:hint="eastAsia" w:ascii="宋体" w:hAnsi="宋体" w:eastAsia="宋体" w:cs="宋体"/>
                <w:color w:val="auto"/>
                <w:sz w:val="24"/>
                <w:szCs w:val="24"/>
                <w:lang w:val="en-US" w:eastAsia="zh-CN"/>
              </w:rPr>
              <w:t>；</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主要</w:t>
            </w:r>
            <w:r>
              <w:rPr>
                <w:rFonts w:hint="eastAsia" w:ascii="宋体" w:hAnsi="宋体" w:eastAsia="宋体" w:cs="宋体"/>
                <w:color w:val="auto"/>
                <w:sz w:val="24"/>
                <w:szCs w:val="24"/>
                <w:u w:val="single"/>
                <w:lang w:val="en-US" w:eastAsia="zh-CN"/>
              </w:rPr>
              <w:t>工作内容和职责权</w:t>
            </w:r>
            <w:r>
              <w:rPr>
                <w:rFonts w:hint="eastAsia" w:ascii="宋体" w:hAnsi="宋体" w:eastAsia="宋体" w:cs="宋体"/>
                <w:color w:val="auto"/>
                <w:sz w:val="24"/>
                <w:szCs w:val="24"/>
                <w:lang w:val="en-US" w:eastAsia="zh-CN"/>
              </w:rPr>
              <w:t>限：</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负责本部门能源管理体系建立实施与运行持续改进。</w:t>
            </w:r>
          </w:p>
          <w:p>
            <w:pPr>
              <w:numPr>
                <w:ilvl w:val="0"/>
                <w:numId w:val="0"/>
              </w:num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参与内审、管理评审，对涉及本部门的不符合及改进项进行改进、跟踪； </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提供能源体系所需的资金。</w:t>
            </w:r>
          </w:p>
        </w:tc>
        <w:tc>
          <w:tcPr>
            <w:tcW w:w="828"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目标，能源指标及其实现的策划</w:t>
            </w:r>
          </w:p>
          <w:p>
            <w:r>
              <w:rPr>
                <w:rFonts w:hint="eastAsia" w:ascii="宋体" w:hAnsi="宋体" w:eastAsia="宋体" w:cs="宋体"/>
                <w:sz w:val="24"/>
                <w:szCs w:val="24"/>
              </w:rPr>
              <w:t>运行的策划和控制</w:t>
            </w:r>
          </w:p>
        </w:tc>
        <w:tc>
          <w:tcPr>
            <w:tcW w:w="960" w:type="dxa"/>
            <w:vAlign w:val="top"/>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6.2 </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8.1 </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10761" w:type="dxa"/>
            <w:vAlign w:val="top"/>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编制了文件化的《2020年能源目标指标方案》；</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本部门的能源目标指标“执行公司统一能源目标指标”；</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2020.12.底</w:t>
            </w:r>
            <w:r>
              <w:rPr>
                <w:rFonts w:hint="eastAsia" w:ascii="宋体" w:hAnsi="宋体" w:cs="宋体"/>
                <w:color w:val="auto"/>
                <w:sz w:val="24"/>
                <w:szCs w:val="24"/>
                <w:lang w:val="en-US" w:eastAsia="zh-CN"/>
              </w:rPr>
              <w:t>能源绩效考核结果基本达标、符合规定</w:t>
            </w:r>
            <w:r>
              <w:rPr>
                <w:rFonts w:hint="eastAsia" w:ascii="宋体" w:hAnsi="宋体" w:eastAsia="宋体" w:cs="宋体"/>
                <w:color w:val="auto"/>
                <w:sz w:val="24"/>
                <w:szCs w:val="24"/>
                <w:lang w:val="en-US" w:eastAsia="zh-CN"/>
              </w:rPr>
              <w:t>；</w:t>
            </w:r>
          </w:p>
          <w:p>
            <w:pPr>
              <w:numPr>
                <w:ilvl w:val="0"/>
                <w:numId w:val="0"/>
              </w:numP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执行公司统一的</w:t>
            </w:r>
            <w:r>
              <w:rPr>
                <w:rFonts w:hint="eastAsia" w:ascii="宋体" w:hAnsi="宋体" w:eastAsia="宋体" w:cs="宋体"/>
                <w:color w:val="auto"/>
                <w:sz w:val="24"/>
                <w:szCs w:val="24"/>
                <w:lang w:val="en-US" w:eastAsia="zh-CN"/>
              </w:rPr>
              <w:t>《能源管理制度》（</w:t>
            </w:r>
            <w:r>
              <w:rPr>
                <w:rFonts w:hint="eastAsia" w:ascii="宋体" w:hAnsi="宋体" w:cs="宋体"/>
                <w:color w:val="auto"/>
                <w:sz w:val="24"/>
                <w:szCs w:val="24"/>
                <w:lang w:val="en-US" w:eastAsia="zh-CN"/>
              </w:rPr>
              <w:t>共</w:t>
            </w:r>
            <w:r>
              <w:rPr>
                <w:rFonts w:hint="eastAsia" w:ascii="宋体" w:hAnsi="宋体" w:eastAsia="宋体" w:cs="宋体"/>
                <w:color w:val="auto"/>
                <w:sz w:val="24"/>
                <w:szCs w:val="24"/>
                <w:lang w:val="en-US" w:eastAsia="zh-CN"/>
              </w:rPr>
              <w:t>13项）</w:t>
            </w:r>
            <w:r>
              <w:rPr>
                <w:rFonts w:hint="eastAsia" w:ascii="宋体" w:hAnsi="宋体" w:cs="宋体"/>
                <w:color w:val="auto"/>
                <w:sz w:val="24"/>
                <w:szCs w:val="24"/>
                <w:lang w:val="en-US" w:eastAsia="zh-CN"/>
              </w:rPr>
              <w:t>、部门</w:t>
            </w:r>
            <w:r>
              <w:rPr>
                <w:rFonts w:hint="eastAsia" w:ascii="宋体" w:hAnsi="宋体" w:eastAsia="宋体" w:cs="宋体"/>
                <w:color w:val="auto"/>
                <w:sz w:val="24"/>
                <w:szCs w:val="24"/>
                <w:lang w:val="en-US" w:eastAsia="zh-CN"/>
              </w:rPr>
              <w:t>日常办公注意节水节</w:t>
            </w:r>
            <w:r>
              <w:rPr>
                <w:rFonts w:hint="eastAsia" w:ascii="宋体" w:hAnsi="宋体" w:cs="宋体"/>
                <w:color w:val="auto"/>
                <w:sz w:val="24"/>
                <w:szCs w:val="24"/>
                <w:lang w:val="en-US" w:eastAsia="zh-CN"/>
              </w:rPr>
              <w:t>电、避免跑冒滴漏现象</w:t>
            </w:r>
            <w:r>
              <w:rPr>
                <w:rFonts w:hint="eastAsia" w:ascii="宋体" w:hAnsi="宋体" w:eastAsia="宋体" w:cs="宋体"/>
                <w:color w:val="auto"/>
                <w:sz w:val="24"/>
                <w:szCs w:val="24"/>
                <w:lang w:val="en-US" w:eastAsia="zh-CN"/>
              </w:rPr>
              <w:t>；</w:t>
            </w:r>
          </w:p>
          <w:p>
            <w:pPr>
              <w:numPr>
                <w:ilvl w:val="0"/>
                <w:numId w:val="0"/>
              </w:numP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另</w:t>
            </w:r>
            <w:r>
              <w:rPr>
                <w:rFonts w:hint="eastAsia" w:ascii="宋体" w:hAnsi="宋体" w:eastAsia="宋体" w:cs="宋体"/>
                <w:color w:val="auto"/>
                <w:sz w:val="24"/>
                <w:szCs w:val="24"/>
                <w:lang w:val="en-US" w:eastAsia="zh-CN"/>
              </w:rPr>
              <w:t>查2019年及2020年能源投入资金额分别是：1472万</w:t>
            </w:r>
            <w:r>
              <w:rPr>
                <w:rFonts w:hint="eastAsia" w:ascii="宋体" w:hAnsi="宋体" w:cs="宋体"/>
                <w:color w:val="auto"/>
                <w:sz w:val="24"/>
                <w:szCs w:val="24"/>
                <w:lang w:val="en-US" w:eastAsia="zh-CN"/>
              </w:rPr>
              <w:t>元</w:t>
            </w:r>
            <w:r>
              <w:rPr>
                <w:rFonts w:hint="eastAsia" w:ascii="宋体" w:hAnsi="宋体" w:eastAsia="宋体" w:cs="宋体"/>
                <w:color w:val="auto"/>
                <w:sz w:val="24"/>
                <w:szCs w:val="24"/>
                <w:lang w:val="en-US" w:eastAsia="zh-CN"/>
              </w:rPr>
              <w:t>、1323万</w:t>
            </w:r>
            <w:r>
              <w:rPr>
                <w:rFonts w:hint="eastAsia" w:ascii="宋体" w:hAnsi="宋体" w:cs="宋体"/>
                <w:color w:val="auto"/>
                <w:sz w:val="24"/>
                <w:szCs w:val="24"/>
                <w:lang w:val="en-US" w:eastAsia="zh-CN"/>
              </w:rPr>
              <w:t>元</w:t>
            </w:r>
          </w:p>
        </w:tc>
        <w:tc>
          <w:tcPr>
            <w:tcW w:w="828" w:type="dxa"/>
            <w:vAlign w:val="top"/>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bl>
    <w:p>
      <w:pPr>
        <w:pStyle w:val="7"/>
        <w:rPr>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rPr>
      <w:fldChar w:fldCharType="begin"/>
    </w:r>
    <w:r>
      <w:rPr>
        <w:b/>
      </w:rPr>
      <w:instrText xml:space="preserve">PAGE</w:instrText>
    </w:r>
    <w:r>
      <w:rPr>
        <w:b/>
      </w:rPr>
      <w:fldChar w:fldCharType="separate"/>
    </w:r>
    <w:r>
      <w:rPr>
        <w:b/>
      </w:rPr>
      <w:t>36</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40</w:t>
    </w:r>
    <w:r>
      <w:rPr>
        <w:b/>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8"/>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8"/>
        <w:rFonts w:hint="eastAsia"/>
      </w:rPr>
      <w:t>北京国标联合认证有限公司</w:t>
    </w:r>
    <w:r>
      <w:rPr>
        <w:rStyle w:val="18"/>
      </w:rPr>
      <w:tab/>
    </w:r>
    <w:r>
      <w:rPr>
        <w:rStyle w:val="18"/>
      </w:rPr>
      <w:tab/>
    </w:r>
    <w:r>
      <w:rPr>
        <w:rStyle w:val="18"/>
      </w:rPr>
      <w:tab/>
    </w:r>
  </w:p>
  <w:p>
    <w:pPr>
      <w:pStyle w:val="8"/>
      <w:pBdr>
        <w:bottom w:val="none" w:color="auto" w:sz="0" w:space="0"/>
      </w:pBdr>
      <w:spacing w:line="320" w:lineRule="exact"/>
      <w:jc w:val="left"/>
    </w:pPr>
    <w:r>
      <w:pict>
        <v:shape id="文本框 1" o:spid="_x0000_s4098"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t>ISC-</w:t>
                </w:r>
                <w:r>
                  <w:rPr>
                    <w:sz w:val="18"/>
                    <w:szCs w:val="18"/>
                  </w:rPr>
                  <w:t>B-I-30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8"/>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356D3"/>
    <w:multiLevelType w:val="singleLevel"/>
    <w:tmpl w:val="AE7356D3"/>
    <w:lvl w:ilvl="0" w:tentative="0">
      <w:start w:val="1"/>
      <w:numFmt w:val="decimal"/>
      <w:suff w:val="nothing"/>
      <w:lvlText w:val="（%1）"/>
      <w:lvlJc w:val="left"/>
      <w:rPr>
        <w:rFonts w:cs="Times New Roman"/>
      </w:rPr>
    </w:lvl>
  </w:abstractNum>
  <w:abstractNum w:abstractNumId="1">
    <w:nsid w:val="D83D8E26"/>
    <w:multiLevelType w:val="singleLevel"/>
    <w:tmpl w:val="D83D8E26"/>
    <w:lvl w:ilvl="0" w:tentative="0">
      <w:start w:val="1"/>
      <w:numFmt w:val="decimal"/>
      <w:lvlText w:val="%1."/>
      <w:lvlJc w:val="left"/>
      <w:pPr>
        <w:tabs>
          <w:tab w:val="left" w:pos="312"/>
        </w:tabs>
      </w:pPr>
      <w:rPr>
        <w:rFonts w:cs="Times New Roman"/>
      </w:rPr>
    </w:lvl>
  </w:abstractNum>
  <w:abstractNum w:abstractNumId="2">
    <w:nsid w:val="18C3E4E4"/>
    <w:multiLevelType w:val="singleLevel"/>
    <w:tmpl w:val="18C3E4E4"/>
    <w:lvl w:ilvl="0" w:tentative="0">
      <w:start w:val="1"/>
      <w:numFmt w:val="lowerLetter"/>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237F6"/>
    <w:rsid w:val="0003373A"/>
    <w:rsid w:val="000400E2"/>
    <w:rsid w:val="00062E46"/>
    <w:rsid w:val="000E6B21"/>
    <w:rsid w:val="00104E57"/>
    <w:rsid w:val="001A2D7F"/>
    <w:rsid w:val="00240AD2"/>
    <w:rsid w:val="002939AD"/>
    <w:rsid w:val="0030297B"/>
    <w:rsid w:val="00314AF6"/>
    <w:rsid w:val="0032228B"/>
    <w:rsid w:val="00337922"/>
    <w:rsid w:val="00340867"/>
    <w:rsid w:val="00380837"/>
    <w:rsid w:val="003A198A"/>
    <w:rsid w:val="003E2930"/>
    <w:rsid w:val="00410914"/>
    <w:rsid w:val="004813A1"/>
    <w:rsid w:val="004F14A4"/>
    <w:rsid w:val="00536930"/>
    <w:rsid w:val="00564E53"/>
    <w:rsid w:val="005D5659"/>
    <w:rsid w:val="00600C20"/>
    <w:rsid w:val="00644FE2"/>
    <w:rsid w:val="0067640C"/>
    <w:rsid w:val="0067657C"/>
    <w:rsid w:val="006A0A1B"/>
    <w:rsid w:val="006E678B"/>
    <w:rsid w:val="007757F3"/>
    <w:rsid w:val="007A3E36"/>
    <w:rsid w:val="007A5F01"/>
    <w:rsid w:val="007C0A91"/>
    <w:rsid w:val="007C1B48"/>
    <w:rsid w:val="007E6AEB"/>
    <w:rsid w:val="008973EE"/>
    <w:rsid w:val="008C3CE4"/>
    <w:rsid w:val="00971600"/>
    <w:rsid w:val="009973B4"/>
    <w:rsid w:val="009C28C1"/>
    <w:rsid w:val="009F7EED"/>
    <w:rsid w:val="00A80636"/>
    <w:rsid w:val="00AF0AAB"/>
    <w:rsid w:val="00AF4DE5"/>
    <w:rsid w:val="00B0689E"/>
    <w:rsid w:val="00BA07B0"/>
    <w:rsid w:val="00BF597E"/>
    <w:rsid w:val="00C51A36"/>
    <w:rsid w:val="00C55228"/>
    <w:rsid w:val="00C63768"/>
    <w:rsid w:val="00C83D54"/>
    <w:rsid w:val="00CE315A"/>
    <w:rsid w:val="00D06F59"/>
    <w:rsid w:val="00D37267"/>
    <w:rsid w:val="00D8388C"/>
    <w:rsid w:val="00DF1096"/>
    <w:rsid w:val="00E6224C"/>
    <w:rsid w:val="00E85801"/>
    <w:rsid w:val="00EA2D69"/>
    <w:rsid w:val="00EB0164"/>
    <w:rsid w:val="00ED0F62"/>
    <w:rsid w:val="00EE1829"/>
    <w:rsid w:val="108219C2"/>
    <w:rsid w:val="159D0073"/>
    <w:rsid w:val="1F5E1D5C"/>
    <w:rsid w:val="21EA315E"/>
    <w:rsid w:val="237C31BC"/>
    <w:rsid w:val="3DFA3EBC"/>
    <w:rsid w:val="3F6D3C71"/>
    <w:rsid w:val="4C7E6806"/>
    <w:rsid w:val="5096051B"/>
    <w:rsid w:val="59A63758"/>
    <w:rsid w:val="59F33ADC"/>
    <w:rsid w:val="5CF3050D"/>
    <w:rsid w:val="5EA12B9A"/>
    <w:rsid w:val="5FEC140B"/>
    <w:rsid w:val="60411182"/>
    <w:rsid w:val="65CE6376"/>
    <w:rsid w:val="6E0052CA"/>
    <w:rsid w:val="71F851A7"/>
    <w:rsid w:val="7297049C"/>
    <w:rsid w:val="73021290"/>
    <w:rsid w:val="7AC67178"/>
    <w:rsid w:val="7AFD2C3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2"/>
    <w:basedOn w:val="1"/>
    <w:next w:val="3"/>
    <w:qFormat/>
    <w:locked/>
    <w:uiPriority w:val="9"/>
    <w:pPr>
      <w:keepNext/>
      <w:keepLines/>
      <w:spacing w:line="360" w:lineRule="auto"/>
      <w:ind w:firstLine="200" w:firstLineChars="200"/>
      <w:outlineLvl w:val="1"/>
    </w:pPr>
    <w:rPr>
      <w:rFonts w:ascii="Cambria" w:hAnsi="Cambria" w:eastAsia="宋体" w:cs="Times New Roman"/>
      <w:b/>
      <w:bCs/>
      <w:sz w:val="24"/>
      <w:szCs w:val="32"/>
    </w:rPr>
  </w:style>
  <w:style w:type="character" w:default="1" w:styleId="12">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link w:val="13"/>
    <w:qFormat/>
    <w:uiPriority w:val="99"/>
    <w:rPr>
      <w:sz w:val="24"/>
    </w:rPr>
  </w:style>
  <w:style w:type="paragraph" w:styleId="5">
    <w:name w:val="Plain Text"/>
    <w:basedOn w:val="1"/>
    <w:link w:val="14"/>
    <w:qFormat/>
    <w:uiPriority w:val="99"/>
    <w:rPr>
      <w:rFonts w:ascii="宋体" w:hAnsi="Courier New" w:cs="Courier New"/>
      <w:szCs w:val="21"/>
    </w:rPr>
  </w:style>
  <w:style w:type="paragraph" w:styleId="6">
    <w:name w:val="Balloon Text"/>
    <w:basedOn w:val="1"/>
    <w:link w:val="15"/>
    <w:semiHidden/>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1">
    <w:name w:val="Table Grid"/>
    <w:basedOn w:val="10"/>
    <w:qFormat/>
    <w:locked/>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Body Text Char"/>
    <w:basedOn w:val="12"/>
    <w:link w:val="3"/>
    <w:semiHidden/>
    <w:qFormat/>
    <w:uiPriority w:val="99"/>
    <w:rPr>
      <w:rFonts w:ascii="Times New Roman" w:hAnsi="Times New Roman"/>
      <w:szCs w:val="20"/>
    </w:rPr>
  </w:style>
  <w:style w:type="character" w:customStyle="1" w:styleId="14">
    <w:name w:val="Plain Text Char"/>
    <w:basedOn w:val="12"/>
    <w:link w:val="5"/>
    <w:semiHidden/>
    <w:qFormat/>
    <w:uiPriority w:val="99"/>
    <w:rPr>
      <w:rFonts w:ascii="宋体" w:hAnsi="Courier New" w:cs="Courier New"/>
      <w:szCs w:val="21"/>
    </w:rPr>
  </w:style>
  <w:style w:type="character" w:customStyle="1" w:styleId="15">
    <w:name w:val="Balloon Text Char"/>
    <w:basedOn w:val="12"/>
    <w:link w:val="6"/>
    <w:semiHidden/>
    <w:qFormat/>
    <w:locked/>
    <w:uiPriority w:val="99"/>
    <w:rPr>
      <w:rFonts w:ascii="Times New Roman" w:hAnsi="Times New Roman" w:eastAsia="宋体" w:cs="Times New Roman"/>
      <w:sz w:val="18"/>
      <w:szCs w:val="18"/>
    </w:rPr>
  </w:style>
  <w:style w:type="character" w:customStyle="1" w:styleId="16">
    <w:name w:val="Footer Char"/>
    <w:basedOn w:val="12"/>
    <w:link w:val="7"/>
    <w:qFormat/>
    <w:locked/>
    <w:uiPriority w:val="99"/>
    <w:rPr>
      <w:rFonts w:ascii="Times New Roman" w:hAnsi="Times New Roman" w:eastAsia="宋体" w:cs="Times New Roman"/>
      <w:sz w:val="18"/>
      <w:szCs w:val="18"/>
    </w:rPr>
  </w:style>
  <w:style w:type="character" w:customStyle="1" w:styleId="17">
    <w:name w:val="Header Char"/>
    <w:basedOn w:val="12"/>
    <w:link w:val="8"/>
    <w:qFormat/>
    <w:locked/>
    <w:uiPriority w:val="99"/>
    <w:rPr>
      <w:rFonts w:ascii="Times New Roman" w:hAnsi="Times New Roman" w:eastAsia="宋体" w:cs="Times New Roman"/>
      <w:sz w:val="18"/>
      <w:szCs w:val="18"/>
    </w:rPr>
  </w:style>
  <w:style w:type="character" w:customStyle="1" w:styleId="18">
    <w:name w:val="Char Char1"/>
    <w:qFormat/>
    <w:locked/>
    <w:uiPriority w:val="99"/>
    <w:rPr>
      <w:rFonts w:ascii="宋体" w:hAnsi="Courier New" w:eastAsia="宋体"/>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40</Pages>
  <Words>4488</Words>
  <Characters>25586</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2021-01-06T01:17:00Z</dcterms:created>
  <dc:creator>微软用户</dc:creator>
  <cp:lastModifiedBy>Lenovo</cp:lastModifiedBy>
  <dcterms:modified xsi:type="dcterms:W3CDTF">2021-04-12T14:56:32Z</dcterms:modified>
  <dc:title>管理体系审核记录表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DA57DB796BF445A8B1FE5AFC7FBC584E</vt:lpwstr>
  </property>
</Properties>
</file>