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04"/>
        <w:gridCol w:w="849"/>
        <w:gridCol w:w="6"/>
        <w:gridCol w:w="567"/>
        <w:gridCol w:w="688"/>
        <w:gridCol w:w="554"/>
        <w:gridCol w:w="75"/>
        <w:gridCol w:w="101"/>
        <w:gridCol w:w="589"/>
        <w:gridCol w:w="261"/>
        <w:gridCol w:w="1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湖北谷城县东华机械股份有限公司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湖北省谷城县石花镇武当路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张成根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15897997029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441705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223167035@qq.com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0236-2021-EnMs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汽车零部件（熔模件）的制造及销售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5" w:name="审核依据"/>
            <w:r>
              <w:rPr>
                <w:rFonts w:hint="eastAsia"/>
                <w:b w:val="0"/>
                <w:bCs/>
                <w:sz w:val="20"/>
                <w:lang w:val="de-DE"/>
              </w:rPr>
              <w:t>ISO50001:2018</w:t>
            </w:r>
            <w:bookmarkEnd w:id="15"/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RB/T</w:t>
            </w: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de-DE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119-2015《</w:t>
            </w:r>
            <w:r>
              <w:rPr>
                <w:rFonts w:hint="default"/>
                <w:b w:val="0"/>
                <w:bCs/>
                <w:color w:val="000000"/>
                <w:sz w:val="22"/>
                <w:szCs w:val="22"/>
                <w:lang w:val="en-US" w:eastAsia="zh-CN"/>
              </w:rPr>
              <w:t>能源管理体系 机械制造企业认证要求</w:t>
            </w:r>
            <w:r>
              <w:rPr>
                <w:rFonts w:hint="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》</w:t>
            </w:r>
            <w:r>
              <w:rPr>
                <w:rFonts w:hint="default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2021年04月01日 下午至2021年04月03日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7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21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13:00-13:30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应对风险和机遇的措施、6.3 能源评审、6.6 采集能源数据的策划、7.1 资源、8.1 运行的策划和控制、9.3 管理评审、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2021年4月2日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（12：00-13：00午餐）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</w:t>
            </w:r>
            <w:r>
              <w:rPr>
                <w:rFonts w:hint="eastAsia" w:ascii="宋体" w:hAnsi="宋体"/>
                <w:szCs w:val="21"/>
                <w:u w:val="single"/>
              </w:rPr>
              <w:t>6.2 目标、能源指及其实现的策划、6.3 能源评审、6.4 能源绩效参数、6.5 能源基准、6.6 采集能源数据的策划、7.2 能力、7.3 意识、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single"/>
              </w:rPr>
              <w:t>7.5 文件化信息、8.1 运行的策划和控制、9.</w:t>
            </w:r>
            <w:r>
              <w:rPr>
                <w:rFonts w:ascii="宋体" w:hAnsi="宋体"/>
                <w:szCs w:val="21"/>
                <w:u w:val="single"/>
              </w:rPr>
              <w:t>1.1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能源绩效和能源管理体系的监视、测量、分析和评价</w:t>
            </w:r>
            <w:r>
              <w:rPr>
                <w:rFonts w:hint="eastAsia" w:ascii="宋体" w:hAnsi="宋体"/>
                <w:szCs w:val="21"/>
              </w:rPr>
              <w:t>、9.1.2 法律法规</w:t>
            </w:r>
            <w:bookmarkStart w:id="17" w:name="_GoBack"/>
            <w:bookmarkEnd w:id="17"/>
            <w:r>
              <w:rPr>
                <w:rFonts w:hint="eastAsia" w:ascii="宋体" w:hAnsi="宋体"/>
                <w:szCs w:val="21"/>
              </w:rPr>
              <w:t>要求和其他要求的合规性评价、9.2 内部审核、10.1 不符合与纠正措施、10.2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  <w:u w:val="single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2021年4月3日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8：00-11：00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8.2设计      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spacing w:line="300" w:lineRule="exact"/>
              <w:ind w:firstLine="1920" w:firstLineChars="8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审核组内部会议、与受审核方沟通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1B1E96"/>
    <w:rsid w:val="21014C91"/>
    <w:rsid w:val="21AF5E63"/>
    <w:rsid w:val="28C75E39"/>
    <w:rsid w:val="34DF68B5"/>
    <w:rsid w:val="3C877129"/>
    <w:rsid w:val="668560FA"/>
    <w:rsid w:val="7CA55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2021-04-13T04:30:14Z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4D1C366A3D4D4754AAB4557EA7249B15</vt:lpwstr>
  </property>
</Properties>
</file>