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受审核部门：管理部 </w:t>
            </w:r>
            <w:r>
              <w:rPr>
                <w:sz w:val="24"/>
                <w:szCs w:val="24"/>
              </w:rPr>
              <w:t xml:space="preserve">  </w:t>
            </w:r>
            <w:r>
              <w:rPr>
                <w:rFonts w:hint="eastAsia"/>
                <w:sz w:val="24"/>
                <w:szCs w:val="24"/>
              </w:rPr>
              <w:t xml:space="preserve">主管领导：许振红 </w:t>
            </w:r>
            <w:r>
              <w:rPr>
                <w:sz w:val="24"/>
                <w:szCs w:val="24"/>
              </w:rPr>
              <w:t xml:space="preserve">  </w:t>
            </w:r>
            <w:r>
              <w:rPr>
                <w:rFonts w:hint="eastAsia"/>
                <w:sz w:val="24"/>
                <w:szCs w:val="24"/>
              </w:rPr>
              <w:t>陪同人员：钱正良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eastAsia" w:eastAsia="宋体"/>
                <w:sz w:val="24"/>
                <w:szCs w:val="24"/>
                <w:lang w:eastAsia="zh-CN"/>
              </w:rPr>
            </w:pPr>
            <w:r>
              <w:rPr>
                <w:rFonts w:hint="eastAsia"/>
                <w:sz w:val="24"/>
                <w:szCs w:val="24"/>
              </w:rPr>
              <w:t xml:space="preserve">审核员：林兵、任泽华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4</w:t>
            </w:r>
            <w:r>
              <w:rPr>
                <w:sz w:val="24"/>
                <w:szCs w:val="24"/>
              </w:rPr>
              <w:t>.</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hint="eastAsia" w:ascii="宋体" w:hAnsi="宋体" w:cs="Arial"/>
                <w:sz w:val="21"/>
                <w:szCs w:val="21"/>
              </w:rPr>
            </w:pPr>
            <w:r>
              <w:rPr>
                <w:rFonts w:hint="eastAsia" w:ascii="宋体" w:hAnsi="宋体" w:cs="宋体"/>
                <w:szCs w:val="21"/>
              </w:rPr>
              <w:t>审核条款</w:t>
            </w:r>
            <w:r>
              <w:rPr>
                <w:rFonts w:hint="eastAsia" w:ascii="宋体" w:hAnsi="宋体" w:cs="宋体"/>
                <w:szCs w:val="21"/>
                <w:lang w:val="en-US" w:eastAsia="zh-CN"/>
              </w:rPr>
              <w:t xml:space="preserve"> </w:t>
            </w:r>
            <w:r>
              <w:rPr>
                <w:rFonts w:hint="eastAsia" w:ascii="宋体" w:hAnsi="宋体" w:cs="Arial"/>
                <w:sz w:val="21"/>
                <w:szCs w:val="21"/>
                <w:lang w:val="en-US" w:eastAsia="zh-CN"/>
              </w:rPr>
              <w:t>A</w:t>
            </w:r>
            <w:r>
              <w:rPr>
                <w:rFonts w:hint="eastAsia" w:ascii="宋体" w:hAnsi="宋体" w:cs="Arial"/>
                <w:sz w:val="21"/>
                <w:szCs w:val="21"/>
              </w:rPr>
              <w:t>B审核：</w:t>
            </w:r>
          </w:p>
          <w:p>
            <w:pPr>
              <w:adjustRightInd w:val="0"/>
              <w:snapToGrid w:val="0"/>
              <w:spacing w:line="320" w:lineRule="exact"/>
              <w:ind w:right="105" w:rightChars="50"/>
              <w:textAlignment w:val="baseline"/>
              <w:rPr>
                <w:rFonts w:hint="eastAsia" w:ascii="宋体" w:hAnsi="宋体" w:cs="Arial"/>
                <w:sz w:val="21"/>
                <w:szCs w:val="21"/>
              </w:rPr>
            </w:pPr>
            <w:r>
              <w:rPr>
                <w:rFonts w:hint="eastAsia" w:ascii="宋体" w:hAnsi="宋体" w:cs="Arial"/>
                <w:sz w:val="21"/>
                <w:szCs w:val="21"/>
              </w:rPr>
              <w:t xml:space="preserve">QMS: 5.3组织的岗位、职责和权限、6.2质量目标、7.5.1形成文件的信息总则、7.5.2形成文件的信息的创建和更新、7.5.3形成文件的信息的控制、10.2不合格和纠正措施， </w:t>
            </w:r>
          </w:p>
          <w:p>
            <w:pPr>
              <w:adjustRightInd w:val="0"/>
              <w:snapToGrid w:val="0"/>
              <w:spacing w:line="320" w:lineRule="exact"/>
              <w:ind w:right="105" w:rightChars="50"/>
              <w:textAlignment w:val="baseline"/>
              <w:rPr>
                <w:rFonts w:hint="eastAsia" w:ascii="宋体" w:hAnsi="宋体" w:cs="Arial"/>
                <w:sz w:val="21"/>
                <w:szCs w:val="21"/>
              </w:rPr>
            </w:pPr>
            <w:r>
              <w:rPr>
                <w:rFonts w:hint="eastAsia" w:ascii="宋体" w:hAnsi="宋体" w:cs="Arial"/>
                <w:sz w:val="21"/>
                <w:szCs w:val="21"/>
              </w:rPr>
              <w:t>E/OMS: 5.3组织的岗位、职责和权限、6.2.1环境/职业健康安全目标、6.2.2实现环境/职业健康安全目标措施的策划、7.5.1形成文件的信息总则、7.5.2形成文件的信息的创建和更新、7.5.3形成文件的信息的控制、10.2不符合/事件和纠正措施，</w:t>
            </w:r>
          </w:p>
          <w:p>
            <w:pPr>
              <w:adjustRightInd w:val="0"/>
              <w:snapToGrid w:val="0"/>
              <w:ind w:right="105" w:rightChars="50"/>
              <w:textAlignment w:val="baseline"/>
              <w:rPr>
                <w:rFonts w:hint="eastAsia" w:ascii="宋体" w:hAnsi="宋体" w:cs="Arial"/>
                <w:b/>
                <w:sz w:val="21"/>
                <w:szCs w:val="21"/>
                <w:u w:val="single"/>
              </w:rPr>
            </w:pPr>
            <w:r>
              <w:rPr>
                <w:rFonts w:hint="eastAsia" w:ascii="宋体" w:hAnsi="宋体" w:cs="Arial"/>
                <w:b/>
                <w:sz w:val="21"/>
                <w:szCs w:val="21"/>
                <w:u w:val="single"/>
                <w:lang w:val="en-US" w:eastAsia="zh-CN"/>
              </w:rPr>
              <w:t>C</w:t>
            </w:r>
            <w:r>
              <w:rPr>
                <w:rFonts w:hint="eastAsia" w:ascii="宋体" w:hAnsi="宋体" w:cs="Arial"/>
                <w:b/>
                <w:sz w:val="21"/>
                <w:szCs w:val="21"/>
                <w:u w:val="single"/>
              </w:rPr>
              <w:t>审核: QMS:  9.1.1监视、测量、分析和评价总则、9.1.3分析与评价，</w:t>
            </w:r>
          </w:p>
          <w:p>
            <w:pPr>
              <w:spacing w:line="280" w:lineRule="exact"/>
              <w:ind w:firstLine="422" w:firstLineChars="200"/>
              <w:rPr>
                <w:rFonts w:ascii="宋体" w:hAnsi="宋体" w:cs="宋体"/>
                <w:szCs w:val="21"/>
              </w:rPr>
            </w:pPr>
            <w:r>
              <w:rPr>
                <w:rFonts w:hint="eastAsia" w:ascii="宋体" w:hAnsi="宋体" w:cs="Arial"/>
                <w:b/>
                <w:sz w:val="21"/>
                <w:szCs w:val="21"/>
                <w:u w:val="single"/>
              </w:rPr>
              <w:t>EOMS:6.1.2环境因素/危险源的辨识与评价、6.1.3合规义务、6.1.4措施的策划、8.1运行策划和控制、9.1监视、测量、分析和评价（9.1.1总则、9.1.2合规性评价）、8.2应急准备和响应,财务支出；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管理部按照公司领导要求，做好公司职能和岗位的具体确定，对从事与桁架机器人和关节机器人组装过程相关的管理、执行和验证人员规定其职责、权限及其相互关系，以实现公司管理方针和管理目标。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管理部本部门人员较为简单，在手册中确定了管理部部门的的职能，人员职责、权限和相互关系。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询问管理部人员，基本清楚本部门职责。</w:t>
            </w:r>
          </w:p>
        </w:tc>
        <w:tc>
          <w:tcPr>
            <w:tcW w:w="1585" w:type="dxa"/>
          </w:tcPr>
          <w:p>
            <w:pPr>
              <w:rPr>
                <w:rFonts w:hint="default" w:eastAsia="宋体"/>
                <w:lang w:val="en-US" w:eastAsia="zh-CN"/>
              </w:rPr>
            </w:pPr>
            <w:r>
              <w:rPr>
                <w:rFonts w:hint="eastAsia"/>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eastAsia="zh-CN"/>
              </w:rPr>
            </w:pPr>
            <w:r>
              <w:rPr>
                <w:rFonts w:hint="eastAsia"/>
                <w:szCs w:val="21"/>
              </w:rPr>
              <w:t>提供了</w:t>
            </w:r>
            <w:r>
              <w:rPr>
                <w:rFonts w:hint="eastAsia"/>
                <w:szCs w:val="21"/>
                <w:lang w:val="en-US" w:eastAsia="zh-CN"/>
              </w:rPr>
              <w:t>2021年度</w:t>
            </w:r>
            <w:r>
              <w:rPr>
                <w:rFonts w:hint="eastAsia"/>
                <w:szCs w:val="21"/>
              </w:rPr>
              <w:t>《环境因素识别评价表》，管理部所识别的环境因素标明时态、状态和对环境的影响；经查阅识别出对在办公活动中产生的纸张、电等消耗、生活废水排放、废硒鼓的废弃等环境因素及考虑到环境管理体系发生变更时可能产生的环境因素。编制：浦其炳    批准：许振红  日期：202</w:t>
            </w:r>
            <w:r>
              <w:rPr>
                <w:rFonts w:hint="eastAsia"/>
                <w:szCs w:val="21"/>
                <w:lang w:val="en-US" w:eastAsia="zh-CN"/>
              </w:rPr>
              <w:t>1</w:t>
            </w:r>
            <w:r>
              <w:rPr>
                <w:rFonts w:hint="eastAsia"/>
                <w:szCs w:val="21"/>
              </w:rPr>
              <w:t>.1.2</w:t>
            </w:r>
            <w:r>
              <w:rPr>
                <w:rFonts w:hint="eastAsia"/>
                <w:szCs w:val="21"/>
                <w:lang w:val="en-US" w:eastAsia="zh-CN"/>
              </w:rPr>
              <w:t>5</w:t>
            </w:r>
          </w:p>
          <w:p>
            <w:pPr>
              <w:spacing w:line="280" w:lineRule="exact"/>
              <w:ind w:firstLine="420" w:firstLineChars="200"/>
              <w:rPr>
                <w:rFonts w:hint="eastAsia" w:eastAsia="宋体"/>
                <w:szCs w:val="21"/>
                <w:lang w:eastAsia="zh-CN"/>
              </w:rPr>
            </w:pPr>
            <w:r>
              <w:rPr>
                <w:rFonts w:hint="eastAsia"/>
                <w:szCs w:val="21"/>
              </w:rPr>
              <w:t>重要环境因素采用打分法和是非判断法，由管理部统计综合评分方法确定重要环境因素，提供了“重要环境因素清单”：本部门的重要环境因素：主要危废（墨盒、废粉、硒鼓、灯管）</w:t>
            </w:r>
            <w:r>
              <w:rPr>
                <w:rFonts w:hint="eastAsia"/>
                <w:szCs w:val="21"/>
                <w:lang w:val="en-US" w:eastAsia="zh-CN"/>
              </w:rPr>
              <w:t>处置</w:t>
            </w:r>
            <w:r>
              <w:rPr>
                <w:rFonts w:hint="eastAsia"/>
                <w:szCs w:val="21"/>
              </w:rPr>
              <w:t>、火灾发生等两项；提供了针对重要环境因素，编制环境目标、指标及管理方案，内容包括：目标、指标、主要措施、责任部门、经费、时间要求等。编制：浦其炳    批准：许振红  日期：202</w:t>
            </w:r>
            <w:r>
              <w:rPr>
                <w:rFonts w:hint="eastAsia"/>
                <w:szCs w:val="21"/>
                <w:lang w:val="en-US" w:eastAsia="zh-CN"/>
              </w:rPr>
              <w:t>1</w:t>
            </w:r>
            <w:r>
              <w:rPr>
                <w:rFonts w:hint="eastAsia"/>
                <w:szCs w:val="21"/>
              </w:rPr>
              <w:t>.1.2</w:t>
            </w:r>
            <w:r>
              <w:rPr>
                <w:rFonts w:hint="eastAsia"/>
                <w:szCs w:val="21"/>
                <w:lang w:val="en-US" w:eastAsia="zh-CN"/>
              </w:rPr>
              <w:t>5</w:t>
            </w:r>
          </w:p>
          <w:p>
            <w:pPr>
              <w:spacing w:line="280" w:lineRule="exact"/>
              <w:ind w:firstLine="420" w:firstLineChars="200"/>
              <w:rPr>
                <w:szCs w:val="21"/>
              </w:rPr>
            </w:pPr>
            <w:r>
              <w:rPr>
                <w:rFonts w:hint="eastAsia"/>
                <w:szCs w:val="21"/>
              </w:rPr>
              <w:t>2）提供了公司制定</w:t>
            </w:r>
            <w:r>
              <w:rPr>
                <w:rFonts w:hint="eastAsia"/>
                <w:szCs w:val="21"/>
                <w:lang w:val="en-US" w:eastAsia="zh-CN"/>
              </w:rPr>
              <w:t>2021年度</w:t>
            </w:r>
            <w:r>
              <w:rPr>
                <w:rFonts w:hint="eastAsia"/>
                <w:szCs w:val="21"/>
              </w:rPr>
              <w:t>《危险源辨识和风险评价控制程序》确保公司在所有管理活动或服务过程中能最大限度、充分地进行危险源辨识与风险性评价，确定不可接受风险并及时更新，实现对危险源与不可接受风险的有效控制。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eastAsia="zh-CN"/>
              </w:rPr>
            </w:pPr>
            <w:r>
              <w:rPr>
                <w:rFonts w:hint="eastAsia"/>
                <w:szCs w:val="21"/>
              </w:rPr>
              <w:t>提供了《危险源风险调查评价表》，对管理部活动场所产生的危险源辨识并进行风险评价，以确定控制措施，经查阅已辨识出管理部在行政办公过程中存在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疫情防控</w:t>
            </w:r>
            <w:r>
              <w:rPr>
                <w:rFonts w:hint="eastAsia"/>
                <w:szCs w:val="21"/>
              </w:rPr>
              <w:t>等危险因素。编制：浦其炳    批准：许振红  日期：202</w:t>
            </w:r>
            <w:r>
              <w:rPr>
                <w:rFonts w:hint="eastAsia"/>
                <w:szCs w:val="21"/>
                <w:lang w:val="en-US" w:eastAsia="zh-CN"/>
              </w:rPr>
              <w:t>1</w:t>
            </w:r>
            <w:r>
              <w:rPr>
                <w:rFonts w:hint="eastAsia"/>
                <w:szCs w:val="21"/>
              </w:rPr>
              <w:t>.1.2</w:t>
            </w:r>
            <w:r>
              <w:rPr>
                <w:rFonts w:hint="eastAsia"/>
                <w:szCs w:val="21"/>
                <w:lang w:val="en-US" w:eastAsia="zh-CN"/>
              </w:rPr>
              <w:t>5</w:t>
            </w:r>
          </w:p>
          <w:p>
            <w:pPr>
              <w:spacing w:line="280" w:lineRule="exact"/>
              <w:ind w:firstLine="420" w:firstLineChars="200"/>
              <w:rPr>
                <w:b/>
                <w:szCs w:val="21"/>
              </w:rPr>
            </w:pPr>
            <w:r>
              <w:rPr>
                <w:rFonts w:hint="eastAsia"/>
                <w:szCs w:val="21"/>
              </w:rPr>
              <w:t>由各部门有管理经验的人员共同讨论、采用经验法确定不可接受风险。提供了《不可接受风险清单》涉及本部门的不可接受风险有：火灾、触电等危害健康安全等；针对不可接受风险编制了职业健康安全目标、指标及管理方案，内容包括：目标、指标、主要措施、责任部门、经费、时间要求等。编制：浦其炳    批准：许振红  日期：202</w:t>
            </w:r>
            <w:r>
              <w:rPr>
                <w:rFonts w:hint="eastAsia"/>
                <w:szCs w:val="21"/>
                <w:lang w:val="en-US" w:eastAsia="zh-CN"/>
              </w:rPr>
              <w:t>1</w:t>
            </w:r>
            <w:r>
              <w:rPr>
                <w:rFonts w:hint="eastAsia"/>
                <w:szCs w:val="21"/>
              </w:rPr>
              <w:t>.1.2</w:t>
            </w:r>
            <w:r>
              <w:rPr>
                <w:rFonts w:hint="eastAsia"/>
                <w:szCs w:val="21"/>
                <w:lang w:val="en-US" w:eastAsia="zh-CN"/>
              </w:rPr>
              <w:t>5</w:t>
            </w:r>
            <w:r>
              <w:rPr>
                <w:rFonts w:hint="eastAsia"/>
                <w:szCs w:val="21"/>
              </w:rPr>
              <w:t>。</w:t>
            </w:r>
          </w:p>
        </w:tc>
        <w:tc>
          <w:tcPr>
            <w:tcW w:w="1585" w:type="dxa"/>
          </w:tcPr>
          <w:p/>
          <w:p>
            <w:pPr>
              <w:rPr>
                <w:rFonts w:hint="eastAsia" w:eastAsia="宋体"/>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管理部按照公司统一安排，编制</w:t>
            </w:r>
            <w:r>
              <w:rPr>
                <w:rFonts w:hint="eastAsia" w:ascii="宋体" w:hAnsi="宋体" w:cs="宋体"/>
                <w:szCs w:val="21"/>
                <w:lang w:val="en-US" w:eastAsia="zh-CN"/>
              </w:rPr>
              <w:t>的</w:t>
            </w:r>
            <w:r>
              <w:rPr>
                <w:rFonts w:hint="eastAsia" w:ascii="宋体" w:hAnsi="宋体" w:cs="宋体"/>
                <w:szCs w:val="21"/>
              </w:rPr>
              <w:t>《法律法规其他要求和合规性评价控制程序》</w:t>
            </w:r>
            <w:r>
              <w:rPr>
                <w:rFonts w:hint="eastAsia" w:ascii="宋体" w:hAnsi="宋体" w:cs="宋体"/>
                <w:szCs w:val="21"/>
                <w:lang w:val="en-US" w:eastAsia="zh-CN"/>
              </w:rPr>
              <w:t>未变化，</w:t>
            </w:r>
            <w:r>
              <w:rPr>
                <w:rFonts w:hint="eastAsia" w:ascii="宋体" w:hAnsi="宋体" w:cs="宋体"/>
                <w:szCs w:val="21"/>
              </w:rPr>
              <w:t>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及公司桁架机器人和关节机器人组装所涉及的相关环境和职业健康安全活动。明确了对应的公司活动，对适用性、合规性等进行了评价，《中华人民共和国民法典》</w:t>
            </w:r>
            <w:r>
              <w:rPr>
                <w:rFonts w:hint="eastAsia" w:ascii="宋体" w:hAnsi="宋体" w:cs="宋体"/>
                <w:szCs w:val="21"/>
                <w:lang w:val="en-US" w:eastAsia="zh-CN"/>
              </w:rPr>
              <w:t>替代了《合同法》</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98" w:type="dxa"/>
          </w:tcPr>
          <w:p>
            <w:pPr>
              <w:spacing w:line="280" w:lineRule="exact"/>
              <w:rPr>
                <w:rFonts w:hint="eastAsia" w:ascii="宋体" w:hAnsi="宋体" w:eastAsia="宋体" w:cs="宋体"/>
                <w:szCs w:val="21"/>
                <w:lang w:eastAsia="zh-CN"/>
              </w:rPr>
            </w:pPr>
            <w:r>
              <w:rPr>
                <w:rFonts w:ascii="宋体" w:hAnsi="宋体" w:cs="宋体"/>
                <w:szCs w:val="21"/>
              </w:rPr>
              <w:t>EO6.1.</w:t>
            </w:r>
            <w:r>
              <w:rPr>
                <w:rFonts w:hint="eastAsia" w:ascii="宋体" w:hAnsi="宋体" w:cs="宋体"/>
                <w:szCs w:val="21"/>
                <w:lang w:val="en-US" w:eastAsia="zh-CN"/>
              </w:rPr>
              <w:t>4</w:t>
            </w:r>
          </w:p>
          <w:p>
            <w:pPr>
              <w:spacing w:line="280" w:lineRule="exact"/>
              <w:rPr>
                <w:szCs w:val="21"/>
              </w:rPr>
            </w:pPr>
          </w:p>
        </w:tc>
        <w:tc>
          <w:tcPr>
            <w:tcW w:w="10004" w:type="dxa"/>
            <w:vAlign w:val="center"/>
          </w:tcPr>
          <w:p>
            <w:pPr>
              <w:spacing w:line="280" w:lineRule="exact"/>
              <w:ind w:firstLine="420" w:firstLineChars="200"/>
              <w:rPr>
                <w:rFonts w:hint="eastAsia"/>
                <w:szCs w:val="21"/>
                <w:lang w:val="en-US" w:eastAsia="zh-CN"/>
              </w:rPr>
            </w:pPr>
            <w:r>
              <w:rPr>
                <w:rFonts w:hint="eastAsia" w:ascii="宋体" w:hAnsi="宋体" w:cs="宋体"/>
                <w:szCs w:val="21"/>
                <w:lang w:val="en-US" w:eastAsia="zh-CN"/>
              </w:rPr>
              <w:t>针对重要环境因素：</w:t>
            </w:r>
            <w:r>
              <w:rPr>
                <w:rFonts w:hint="eastAsia"/>
                <w:szCs w:val="21"/>
              </w:rPr>
              <w:t>危废（墨盒、废粉、硒鼓、灯管）</w:t>
            </w:r>
            <w:r>
              <w:rPr>
                <w:rFonts w:hint="eastAsia"/>
                <w:szCs w:val="21"/>
                <w:lang w:val="en-US" w:eastAsia="zh-CN"/>
              </w:rPr>
              <w:t>处置</w:t>
            </w:r>
            <w:r>
              <w:rPr>
                <w:rFonts w:hint="eastAsia"/>
                <w:szCs w:val="21"/>
              </w:rPr>
              <w:t>、火灾发生</w:t>
            </w:r>
            <w:r>
              <w:rPr>
                <w:rFonts w:hint="eastAsia"/>
                <w:szCs w:val="21"/>
                <w:lang w:val="en-US" w:eastAsia="zh-CN"/>
              </w:rPr>
              <w:t>；重大危险源：</w:t>
            </w:r>
            <w:r>
              <w:rPr>
                <w:rFonts w:hint="eastAsia"/>
                <w:szCs w:val="21"/>
              </w:rPr>
              <w:t>火灾、触电</w:t>
            </w:r>
            <w:r>
              <w:rPr>
                <w:rFonts w:hint="eastAsia"/>
                <w:szCs w:val="21"/>
                <w:lang w:eastAsia="zh-CN"/>
              </w:rPr>
              <w:t>、</w:t>
            </w:r>
            <w:r>
              <w:rPr>
                <w:rFonts w:hint="eastAsia"/>
                <w:szCs w:val="21"/>
                <w:lang w:val="en-US" w:eastAsia="zh-CN"/>
              </w:rPr>
              <w:t>疫情防控</w:t>
            </w:r>
            <w:r>
              <w:rPr>
                <w:rFonts w:hint="eastAsia"/>
                <w:szCs w:val="21"/>
              </w:rPr>
              <w:t>等危害健康安全</w:t>
            </w:r>
            <w:r>
              <w:rPr>
                <w:rFonts w:hint="eastAsia"/>
                <w:szCs w:val="21"/>
                <w:lang w:val="en-US" w:eastAsia="zh-CN"/>
              </w:rPr>
              <w:t>；进行管理措施的策划。</w:t>
            </w:r>
          </w:p>
          <w:p>
            <w:pPr>
              <w:spacing w:line="280" w:lineRule="exact"/>
              <w:ind w:firstLine="420" w:firstLineChars="200"/>
              <w:rPr>
                <w:rFonts w:hint="eastAsia" w:ascii="宋体" w:hAnsi="宋体" w:cs="宋体"/>
                <w:lang w:val="en-US" w:eastAsia="zh-CN"/>
              </w:rPr>
            </w:pPr>
            <w:r>
              <w:rPr>
                <w:rFonts w:hint="eastAsia" w:ascii="宋体" w:hAnsi="宋体" w:cs="宋体"/>
                <w:lang w:val="en-US" w:eastAsia="zh-CN"/>
              </w:rPr>
              <w:t>按</w:t>
            </w:r>
            <w:r>
              <w:rPr>
                <w:rFonts w:hint="eastAsia" w:ascii="宋体" w:hAnsi="宋体" w:cs="宋体"/>
                <w:lang w:eastAsia="zh-CN"/>
              </w:rPr>
              <w:t>YL</w:t>
            </w:r>
            <w:r>
              <w:rPr>
                <w:rFonts w:hint="eastAsia" w:ascii="宋体" w:hAnsi="宋体" w:cs="宋体"/>
              </w:rPr>
              <w:t>-CX-16</w:t>
            </w:r>
            <w:r>
              <w:rPr>
                <w:rFonts w:hint="eastAsia" w:ascii="宋体" w:hAnsi="宋体" w:cs="宋体"/>
                <w:lang w:eastAsia="zh-CN"/>
              </w:rPr>
              <w:t>《</w:t>
            </w:r>
            <w:r>
              <w:rPr>
                <w:rFonts w:hint="eastAsia" w:ascii="宋体" w:hAnsi="宋体" w:cs="宋体"/>
              </w:rPr>
              <w:t>环境因素识别与评价控制程序</w:t>
            </w:r>
            <w:r>
              <w:rPr>
                <w:rFonts w:hint="eastAsia" w:ascii="宋体" w:hAnsi="宋体" w:cs="宋体"/>
                <w:lang w:eastAsia="zh-CN"/>
              </w:rPr>
              <w:t>》YL</w:t>
            </w:r>
            <w:r>
              <w:rPr>
                <w:rFonts w:hint="eastAsia" w:ascii="宋体" w:hAnsi="宋体" w:cs="宋体"/>
              </w:rPr>
              <w:t>-CX-23</w:t>
            </w:r>
            <w:r>
              <w:rPr>
                <w:rFonts w:hint="eastAsia" w:ascii="宋体" w:hAnsi="宋体" w:cs="宋体"/>
                <w:lang w:eastAsia="zh-CN"/>
              </w:rPr>
              <w:t>《</w:t>
            </w:r>
            <w:r>
              <w:rPr>
                <w:rFonts w:hint="eastAsia" w:ascii="宋体" w:hAnsi="宋体" w:cs="宋体"/>
              </w:rPr>
              <w:t>危险源辨识、风险评价与控制措施制定程序</w:t>
            </w:r>
            <w:r>
              <w:rPr>
                <w:rFonts w:hint="eastAsia" w:ascii="宋体" w:hAnsi="宋体" w:cs="宋体"/>
                <w:lang w:eastAsia="zh-CN"/>
              </w:rPr>
              <w:t>》</w:t>
            </w:r>
            <w:r>
              <w:rPr>
                <w:rFonts w:hint="eastAsia" w:ascii="宋体" w:hAnsi="宋体" w:cs="宋体"/>
                <w:lang w:val="en-US" w:eastAsia="zh-CN"/>
              </w:rPr>
              <w:t>进行策划。</w:t>
            </w:r>
          </w:p>
          <w:p>
            <w:pPr>
              <w:spacing w:line="280" w:lineRule="exact"/>
              <w:ind w:firstLine="420" w:firstLineChars="200"/>
              <w:rPr>
                <w:rFonts w:hint="default" w:ascii="宋体" w:hAnsi="宋体" w:eastAsia="宋体" w:cs="宋体"/>
                <w:lang w:val="en-US" w:eastAsia="zh-CN"/>
              </w:rPr>
            </w:pPr>
            <w:r>
              <w:rPr>
                <w:rFonts w:hint="eastAsia" w:ascii="宋体" w:hAnsi="宋体" w:cs="宋体"/>
                <w:lang w:val="en-US" w:eastAsia="zh-CN"/>
              </w:rPr>
              <w:t>要求：</w:t>
            </w:r>
            <w:r>
              <w:rPr>
                <w:rFonts w:hint="eastAsia"/>
                <w:szCs w:val="21"/>
              </w:rPr>
              <w:t>墨盒、废粉、硒鼓</w:t>
            </w:r>
            <w:r>
              <w:rPr>
                <w:rFonts w:hint="eastAsia"/>
                <w:szCs w:val="21"/>
                <w:lang w:val="en-US" w:eastAsia="zh-CN"/>
              </w:rPr>
              <w:t>由供应商回收；灯管统一收集存放处理；定期检查消防设施和线路情况；用电安全公司定期进行安全培训；人员外出发放防疫口罩；人员进出体温登记和查看健康码。</w:t>
            </w:r>
          </w:p>
        </w:tc>
        <w:tc>
          <w:tcPr>
            <w:tcW w:w="1585" w:type="dxa"/>
          </w:tcPr>
          <w:p>
            <w:pPr>
              <w:rPr>
                <w:rFonts w:hint="eastAsia" w:eastAsia="宋体"/>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管理部涉及的目标及实现情况是：</w:t>
            </w:r>
          </w:p>
          <w:p>
            <w:pPr>
              <w:ind w:firstLine="1050" w:firstLineChars="500"/>
              <w:rPr>
                <w:rFonts w:ascii="宋体" w:hAnsi="宋体" w:cs="宋体"/>
                <w:szCs w:val="21"/>
              </w:rPr>
            </w:pPr>
            <w:r>
              <w:rPr>
                <w:rFonts w:hint="eastAsia" w:ascii="宋体" w:hAnsi="宋体" w:cs="宋体"/>
                <w:szCs w:val="21"/>
              </w:rPr>
              <w:t xml:space="preserve">目标 </w:t>
            </w:r>
            <w:r>
              <w:rPr>
                <w:rFonts w:ascii="宋体" w:hAnsi="宋体" w:cs="宋体"/>
                <w:szCs w:val="21"/>
              </w:rPr>
              <w:t xml:space="preserve">                                 </w:t>
            </w:r>
            <w:r>
              <w:rPr>
                <w:rFonts w:hint="eastAsia" w:ascii="宋体" w:hAnsi="宋体" w:cs="宋体"/>
                <w:szCs w:val="21"/>
              </w:rPr>
              <w:t>完成情况</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文件发放前审批率1</w:t>
            </w:r>
            <w:r>
              <w:rPr>
                <w:rFonts w:ascii="宋体" w:hAnsi="宋体" w:cs="宋体"/>
                <w:szCs w:val="21"/>
              </w:rPr>
              <w:t>00</w:t>
            </w:r>
            <w:r>
              <w:rPr>
                <w:rFonts w:hint="eastAsia" w:ascii="宋体" w:hAnsi="宋体" w:cs="宋体"/>
                <w:szCs w:val="21"/>
              </w:rPr>
              <w:t>%</w:t>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培训计划实施率1</w:t>
            </w:r>
            <w:r>
              <w:rPr>
                <w:rFonts w:ascii="宋体" w:hAnsi="宋体" w:cs="宋体"/>
                <w:szCs w:val="21"/>
              </w:rPr>
              <w:t>00</w:t>
            </w:r>
            <w:r>
              <w:rPr>
                <w:rFonts w:hint="eastAsia" w:ascii="宋体" w:hAnsi="宋体" w:cs="宋体"/>
                <w:szCs w:val="21"/>
              </w:rPr>
              <w:t>%</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 xml:space="preserve">废弃物回收率达到100%，统一处理 </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 xml:space="preserve">每年定期对消防器材进行验收，更换过期的消防器材。 </w:t>
            </w:r>
            <w:r>
              <w:rPr>
                <w:rFonts w:ascii="宋体" w:hAnsi="宋体" w:cs="宋体"/>
                <w:szCs w:val="21"/>
              </w:rPr>
              <w:t xml:space="preserve"> </w:t>
            </w:r>
            <w:r>
              <w:rPr>
                <w:rFonts w:hint="eastAsia" w:ascii="宋体" w:hAnsi="宋体" w:cs="宋体"/>
                <w:szCs w:val="21"/>
              </w:rPr>
              <w:t>符合</w:t>
            </w:r>
          </w:p>
          <w:p>
            <w:pPr>
              <w:spacing w:line="280" w:lineRule="exact"/>
              <w:ind w:firstLine="420" w:firstLineChars="200"/>
              <w:rPr>
                <w:rFonts w:ascii="宋体" w:hAnsi="宋体" w:cs="宋体"/>
                <w:szCs w:val="21"/>
              </w:rPr>
            </w:pPr>
            <w:r>
              <w:rPr>
                <w:rFonts w:hint="eastAsia" w:ascii="宋体" w:hAnsi="宋体" w:cs="宋体"/>
                <w:szCs w:val="21"/>
              </w:rPr>
              <w:t xml:space="preserve">应急通道畅通，消防设施完好率100%。 </w:t>
            </w:r>
            <w:r>
              <w:rPr>
                <w:rFonts w:ascii="宋体" w:hAnsi="宋体" w:cs="宋体"/>
                <w:szCs w:val="21"/>
              </w:rPr>
              <w:t xml:space="preserve">              100</w:t>
            </w:r>
            <w:r>
              <w:rPr>
                <w:rFonts w:hint="eastAsia" w:ascii="宋体" w:hAnsi="宋体" w:cs="宋体"/>
                <w:szCs w:val="21"/>
              </w:rPr>
              <w:t>%</w:t>
            </w:r>
          </w:p>
          <w:p>
            <w:pPr>
              <w:spacing w:line="320" w:lineRule="exact"/>
              <w:ind w:firstLine="420" w:firstLineChars="200"/>
              <w:rPr>
                <w:color w:val="000000"/>
                <w:szCs w:val="21"/>
              </w:rPr>
            </w:pPr>
            <w:r>
              <w:rPr>
                <w:rFonts w:hint="eastAsia" w:ascii="宋体" w:hAnsi="宋体" w:cs="宋体"/>
                <w:szCs w:val="21"/>
              </w:rPr>
              <w:t>火灾事故为0</w:t>
            </w:r>
            <w:r>
              <w:rPr>
                <w:rFonts w:ascii="宋体" w:hAnsi="宋体" w:cs="宋体"/>
                <w:szCs w:val="21"/>
              </w:rPr>
              <w:t xml:space="preserve">                                      0</w:t>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根据统计结果，目标均已完成。</w:t>
            </w:r>
          </w:p>
        </w:tc>
        <w:tc>
          <w:tcPr>
            <w:tcW w:w="1585" w:type="dxa"/>
          </w:tcPr>
          <w:p>
            <w:pPr>
              <w:rPr>
                <w:rFonts w:hint="default" w:eastAsia="宋体"/>
                <w:lang w:val="en-US" w:eastAsia="zh-CN"/>
              </w:rPr>
            </w:pPr>
            <w:r>
              <w:rPr>
                <w:rFonts w:hint="eastAsia"/>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ascii="宋体" w:hAnsi="宋体" w:cs="宋体"/>
                <w:szCs w:val="21"/>
              </w:rPr>
              <w:t>《环境运行控制程序》、《职业健康安全运行控制程序》、《相关方管理程序》等文件；由管理部统一管理。提供了危废控制和火灾预防的管理方案，针对火灾编制了应急预案。</w:t>
            </w:r>
          </w:p>
        </w:tc>
        <w:tc>
          <w:tcPr>
            <w:tcW w:w="1585" w:type="dxa"/>
          </w:tcPr>
          <w:p>
            <w:pPr>
              <w:rPr>
                <w:rFonts w:hint="eastAsia" w:eastAsia="宋体"/>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360" w:lineRule="auto"/>
              <w:ind w:firstLine="420" w:firstLineChars="200"/>
              <w:rPr>
                <w:rFonts w:ascii="宋体" w:hAnsi="宋体" w:cs="宋体"/>
                <w:szCs w:val="24"/>
              </w:rPr>
            </w:pPr>
            <w:r>
              <w:rPr>
                <w:rFonts w:hint="eastAsia" w:ascii="宋体" w:hAnsi="宋体" w:cs="宋体"/>
                <w:szCs w:val="24"/>
              </w:rPr>
              <w:t>编制</w:t>
            </w:r>
            <w:r>
              <w:rPr>
                <w:rFonts w:hint="eastAsia" w:ascii="宋体" w:hAnsi="宋体" w:cs="宋体"/>
                <w:szCs w:val="24"/>
                <w:lang w:val="en-US" w:eastAsia="zh-CN"/>
              </w:rPr>
              <w:t>的</w:t>
            </w:r>
            <w:r>
              <w:rPr>
                <w:rFonts w:hint="eastAsia" w:ascii="宋体" w:hAnsi="宋体" w:cs="宋体"/>
                <w:szCs w:val="24"/>
              </w:rPr>
              <w:t>《文件控制程序》</w:t>
            </w:r>
            <w:r>
              <w:rPr>
                <w:rFonts w:hint="eastAsia" w:ascii="宋体" w:hAnsi="宋体" w:cs="宋体"/>
                <w:szCs w:val="24"/>
                <w:lang w:val="en-US" w:eastAsia="zh-CN"/>
              </w:rPr>
              <w:t>和</w:t>
            </w:r>
            <w:r>
              <w:rPr>
                <w:rFonts w:hint="eastAsia" w:ascii="宋体" w:hAnsi="宋体" w:cs="宋体"/>
                <w:szCs w:val="24"/>
              </w:rPr>
              <w:t>《记录控制程序》，</w:t>
            </w:r>
            <w:r>
              <w:rPr>
                <w:rFonts w:hint="eastAsia" w:ascii="宋体" w:hAnsi="宋体" w:cs="宋体"/>
                <w:szCs w:val="24"/>
                <w:lang w:val="en-US" w:eastAsia="zh-CN"/>
              </w:rPr>
              <w:t>未变化，持续</w:t>
            </w:r>
            <w:r>
              <w:rPr>
                <w:rFonts w:hint="eastAsia" w:ascii="宋体" w:hAnsi="宋体" w:cs="宋体"/>
                <w:szCs w:val="24"/>
              </w:rPr>
              <w:t>满足体系要求。</w:t>
            </w:r>
          </w:p>
          <w:p>
            <w:pPr>
              <w:spacing w:line="360" w:lineRule="auto"/>
              <w:ind w:firstLine="420" w:firstLineChars="200"/>
              <w:rPr>
                <w:rFonts w:ascii="宋体" w:hAnsi="宋体" w:cs="宋体"/>
                <w:szCs w:val="24"/>
              </w:rPr>
            </w:pPr>
            <w:r>
              <w:rPr>
                <w:rFonts w:hint="eastAsia" w:ascii="宋体" w:hAnsi="宋体" w:cs="宋体"/>
                <w:szCs w:val="24"/>
              </w:rPr>
              <w:t>组织策划的体系文件有手册、程序文件、三级文件汇编及记录等。</w:t>
            </w:r>
          </w:p>
          <w:p>
            <w:pPr>
              <w:spacing w:line="360" w:lineRule="auto"/>
              <w:ind w:firstLine="420" w:firstLineChars="200"/>
              <w:rPr>
                <w:rFonts w:ascii="宋体" w:hAnsi="宋体" w:cs="宋体"/>
                <w:szCs w:val="24"/>
              </w:rPr>
            </w:pPr>
            <w:r>
              <w:rPr>
                <w:rFonts w:hint="eastAsia" w:ascii="宋体" w:hAnsi="宋体" w:cs="宋体"/>
                <w:szCs w:val="24"/>
              </w:rPr>
              <w:t>查见《受控文件清单》，登录有手册、程序、管理规定、生产现场管理制度、组装作业指导书等受控文件，包含了体系要求的成文信息，文件规定基本符合组织实际，满足标准要求。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ascii="宋体" w:hAnsi="宋体" w:cs="宋体"/>
                <w:szCs w:val="24"/>
              </w:rPr>
            </w:pPr>
            <w:r>
              <w:rPr>
                <w:rFonts w:hint="eastAsia" w:ascii="宋体" w:hAnsi="宋体" w:cs="宋体"/>
                <w:szCs w:val="24"/>
              </w:rPr>
              <w:t>查文件发放情况：</w:t>
            </w:r>
          </w:p>
          <w:p>
            <w:pPr>
              <w:spacing w:line="360" w:lineRule="auto"/>
              <w:ind w:firstLine="420" w:firstLineChars="200"/>
              <w:rPr>
                <w:rFonts w:ascii="宋体" w:hAnsi="宋体" w:cs="宋体"/>
                <w:szCs w:val="24"/>
              </w:rPr>
            </w:pPr>
            <w:r>
              <w:rPr>
                <w:rFonts w:hint="eastAsia" w:ascii="宋体" w:hAnsi="宋体" w:cs="宋体"/>
                <w:szCs w:val="24"/>
              </w:rPr>
              <w:t>提供了《文件发放/回收记录》，对文件的发放登记。</w:t>
            </w:r>
          </w:p>
          <w:p>
            <w:pPr>
              <w:spacing w:line="360" w:lineRule="auto"/>
              <w:ind w:firstLine="420" w:firstLineChars="200"/>
              <w:rPr>
                <w:rFonts w:ascii="宋体" w:hAnsi="宋体" w:cs="宋体"/>
                <w:szCs w:val="24"/>
              </w:rPr>
            </w:pPr>
            <w:r>
              <w:rPr>
                <w:rFonts w:hint="eastAsia" w:ascii="宋体" w:hAnsi="宋体" w:cs="宋体"/>
                <w:szCs w:val="24"/>
              </w:rPr>
              <w:t>查外来文件管理：</w:t>
            </w:r>
          </w:p>
          <w:p>
            <w:pPr>
              <w:spacing w:line="360" w:lineRule="auto"/>
              <w:ind w:firstLine="420" w:firstLineChars="200"/>
              <w:rPr>
                <w:rFonts w:ascii="宋体" w:hAnsi="宋体" w:cs="宋体"/>
                <w:szCs w:val="24"/>
              </w:rPr>
            </w:pPr>
            <w:r>
              <w:rPr>
                <w:rFonts w:hint="eastAsia" w:ascii="宋体" w:hAnsi="宋体" w:cs="宋体"/>
                <w:szCs w:val="24"/>
              </w:rPr>
              <w:t>查《外来文件接收记录》</w:t>
            </w:r>
            <w:r>
              <w:rPr>
                <w:rFonts w:hint="eastAsia" w:ascii="宋体" w:hAnsi="宋体" w:cs="宋体"/>
                <w:szCs w:val="24"/>
                <w:lang w:val="en-US" w:eastAsia="zh-CN"/>
              </w:rPr>
              <w:t>和</w:t>
            </w:r>
            <w:r>
              <w:rPr>
                <w:rFonts w:hint="eastAsia" w:ascii="宋体" w:hAnsi="宋体" w:cs="宋体"/>
                <w:szCs w:val="24"/>
              </w:rPr>
              <w:t>《适用的法律法规其他要求清单》</w:t>
            </w:r>
            <w:r>
              <w:rPr>
                <w:rFonts w:hint="eastAsia" w:ascii="宋体" w:hAnsi="宋体" w:cs="宋体"/>
                <w:szCs w:val="24"/>
                <w:lang w:eastAsia="zh-CN"/>
              </w:rPr>
              <w:t>，</w:t>
            </w:r>
            <w:r>
              <w:rPr>
                <w:rFonts w:hint="eastAsia" w:ascii="宋体" w:hAnsi="宋体" w:cs="宋体"/>
                <w:szCs w:val="24"/>
                <w:lang w:val="en-US" w:eastAsia="zh-CN"/>
              </w:rPr>
              <w:t>外来文件款修改，法规清单有修改，提供重新登记分发记录</w:t>
            </w:r>
            <w:r>
              <w:rPr>
                <w:rFonts w:hint="eastAsia" w:ascii="宋体" w:hAnsi="宋体" w:cs="宋体"/>
                <w:szCs w:val="24"/>
              </w:rPr>
              <w:t>。</w:t>
            </w:r>
          </w:p>
          <w:p>
            <w:pPr>
              <w:snapToGrid w:val="0"/>
              <w:spacing w:line="360" w:lineRule="auto"/>
              <w:ind w:firstLine="420" w:firstLineChars="200"/>
              <w:rPr>
                <w:rFonts w:ascii="宋体" w:hAnsi="宋体" w:cs="宋体"/>
                <w:szCs w:val="24"/>
              </w:rPr>
            </w:pPr>
            <w:r>
              <w:rPr>
                <w:rFonts w:hint="eastAsia" w:ascii="宋体" w:hAnsi="宋体" w:cs="宋体"/>
                <w:szCs w:val="24"/>
              </w:rPr>
              <w:t>查作废文件控制：体系运行以来没有作废文件。</w:t>
            </w:r>
          </w:p>
          <w:p>
            <w:pPr>
              <w:snapToGrid w:val="0"/>
              <w:spacing w:line="360" w:lineRule="auto"/>
              <w:ind w:firstLine="420" w:firstLineChars="200"/>
              <w:rPr>
                <w:rFonts w:ascii="宋体" w:hAnsi="宋体" w:cs="宋体"/>
                <w:szCs w:val="24"/>
              </w:rPr>
            </w:pPr>
            <w:r>
              <w:rPr>
                <w:rFonts w:hint="eastAsia" w:ascii="宋体" w:hAnsi="宋体" w:cs="宋体"/>
                <w:szCs w:val="24"/>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ascii="宋体" w:hAnsi="宋体" w:cs="宋体"/>
                <w:szCs w:val="24"/>
              </w:rPr>
            </w:pPr>
            <w:r>
              <w:rPr>
                <w:rFonts w:hint="eastAsia" w:ascii="宋体" w:hAnsi="宋体" w:cs="宋体"/>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rPr>
                <w:rFonts w:ascii="宋体" w:hAnsi="宋体" w:cs="宋体"/>
                <w:szCs w:val="24"/>
              </w:rPr>
            </w:pPr>
            <w:r>
              <w:rPr>
                <w:rFonts w:hint="eastAsia" w:ascii="宋体" w:hAnsi="宋体" w:cs="宋体"/>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宋体" w:hAnsi="宋体" w:cs="宋体"/>
                <w:szCs w:val="21"/>
              </w:rPr>
            </w:pPr>
            <w:r>
              <w:rPr>
                <w:rFonts w:hint="eastAsia" w:ascii="宋体" w:hAnsi="宋体" w:cs="宋体"/>
                <w:szCs w:val="24"/>
              </w:rPr>
              <w:t>　</w:t>
            </w:r>
            <w:r>
              <w:rPr>
                <w:rFonts w:hint="eastAsia" w:ascii="宋体" w:hAnsi="宋体"/>
                <w:szCs w:val="24"/>
              </w:rPr>
              <w:t>总体来说，公司文件化信息控制基本有效。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主要为生活垃圾，管理部有垃圾篓集中倒入垃圾站由市政环卫运送至统一地点集中处理。危废（墨盒、硒鼓、灯管）排放；火灾，能源资源消耗等集中放置后，定期由有资质单位进行处理。</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公司管理部现场发现有灭火器，提供了消防安全检查相关记录。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w:t>
            </w:r>
          </w:p>
          <w:p>
            <w:pPr>
              <w:spacing w:line="280" w:lineRule="exact"/>
              <w:ind w:firstLine="420" w:firstLineChars="200"/>
              <w:rPr>
                <w:b/>
                <w:szCs w:val="21"/>
              </w:rPr>
            </w:pPr>
            <w:r>
              <w:rPr>
                <w:rFonts w:hint="eastAsia" w:ascii="宋体" w:hAnsi="宋体" w:cs="宋体"/>
                <w:szCs w:val="21"/>
              </w:rPr>
              <w:t>8、只为关键长期员工上社保。</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sz w:val="21"/>
                <w:szCs w:val="21"/>
              </w:rPr>
              <w:t>应急准备和响应程序》，</w:t>
            </w:r>
            <w:r>
              <w:rPr>
                <w:rFonts w:hint="eastAsia"/>
                <w:sz w:val="21"/>
                <w:szCs w:val="21"/>
                <w:lang w:val="en-US" w:eastAsia="zh-CN"/>
              </w:rPr>
              <w:t>无变化</w:t>
            </w:r>
            <w:r>
              <w:rPr>
                <w:rFonts w:hint="eastAsia"/>
                <w:sz w:val="21"/>
                <w:szCs w:val="21"/>
              </w:rPr>
              <w:t>。</w:t>
            </w:r>
          </w:p>
          <w:p>
            <w:pPr>
              <w:pStyle w:val="13"/>
              <w:spacing w:line="280" w:lineRule="exact"/>
              <w:ind w:firstLineChars="0"/>
              <w:rPr>
                <w:rFonts w:hint="default" w:eastAsia="宋体"/>
                <w:sz w:val="21"/>
                <w:szCs w:val="21"/>
                <w:lang w:val="en-US" w:eastAsia="zh-CN"/>
              </w:rPr>
            </w:pPr>
            <w:r>
              <w:rPr>
                <w:rFonts w:hint="eastAsia"/>
                <w:sz w:val="21"/>
                <w:szCs w:val="21"/>
              </w:rPr>
              <w:t>策划了应急预案包括触电、火灾等应急预案</w:t>
            </w:r>
            <w:r>
              <w:rPr>
                <w:rFonts w:hint="eastAsia"/>
                <w:sz w:val="21"/>
                <w:szCs w:val="21"/>
                <w:lang w:eastAsia="zh-CN"/>
              </w:rPr>
              <w:t>，</w:t>
            </w:r>
            <w:r>
              <w:rPr>
                <w:rFonts w:hint="eastAsia"/>
                <w:sz w:val="21"/>
                <w:szCs w:val="21"/>
                <w:lang w:val="en-US" w:eastAsia="zh-CN"/>
              </w:rPr>
              <w:t>无增加。</w:t>
            </w:r>
          </w:p>
          <w:p>
            <w:pPr>
              <w:pStyle w:val="13"/>
              <w:spacing w:line="280" w:lineRule="exact"/>
              <w:ind w:firstLineChars="0"/>
              <w:rPr>
                <w:sz w:val="21"/>
                <w:szCs w:val="21"/>
              </w:rPr>
            </w:pPr>
            <w:r>
              <w:rPr>
                <w:rFonts w:hint="eastAsia"/>
                <w:sz w:val="21"/>
                <w:szCs w:val="21"/>
              </w:rPr>
              <w:t>公司进行了</w:t>
            </w:r>
            <w:r>
              <w:rPr>
                <w:rFonts w:hint="eastAsia"/>
                <w:sz w:val="21"/>
                <w:szCs w:val="21"/>
                <w:lang w:val="en-US" w:eastAsia="zh-CN"/>
              </w:rPr>
              <w:t>年度</w:t>
            </w:r>
            <w:r>
              <w:rPr>
                <w:rFonts w:hint="eastAsia"/>
                <w:sz w:val="21"/>
                <w:szCs w:val="21"/>
              </w:rPr>
              <w:t>消防灭火演练，查应急演练记录。</w:t>
            </w:r>
          </w:p>
          <w:p>
            <w:pPr>
              <w:spacing w:line="280" w:lineRule="exact"/>
              <w:ind w:firstLine="420" w:firstLineChars="200"/>
              <w:rPr>
                <w:rFonts w:ascii="宋体" w:hAnsi="宋体" w:cs="宋体"/>
                <w:szCs w:val="21"/>
              </w:rPr>
            </w:pPr>
            <w:r>
              <w:rPr>
                <w:rFonts w:hint="eastAsia"/>
                <w:szCs w:val="21"/>
              </w:rPr>
              <w:t>查消防灭火演练，演练时间202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.9，地点公司，对演练过程进行了描述，并对预案的有效性进行了评价。目前未发生火灾、人身伤害等事故。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管理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4</w:t>
            </w:r>
            <w:r>
              <w:rPr>
                <w:rFonts w:hint="eastAsia" w:ascii="宋体" w:hAnsi="宋体" w:cs="宋体"/>
                <w:szCs w:val="21"/>
              </w:rPr>
              <w:t>月份的目标完成情况，公司及各部门的管理目标均能完成。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与桁架机器人和关节机器人组装相关的法律、法规和其它要求如何运用到公司的活动、产品和服务以及相关的环境因素和风险因素。查所提供的《法律法规及其他要求清单及合规性评价》，基本涵盖所涉及的各相关方的合规义务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分析与评价</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Q9.1.3</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公司数据包括：对桁架机器人和关节机器人组装的状况、管理体系运行、顾客满意、供方等过程的数据分析。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查自公司管理体系运行以来，已经进行搜集信息和数据的活动：管理目标考核、顾客满意度调查、供方的交付和质量、环境、职业健康安全运行情况等的简单分析。</w:t>
            </w:r>
          </w:p>
          <w:p>
            <w:pPr>
              <w:spacing w:line="280" w:lineRule="exact"/>
              <w:rPr>
                <w:rFonts w:ascii="宋体" w:hAnsi="宋体" w:cs="宋体"/>
                <w:color w:val="000000"/>
                <w:kern w:val="0"/>
                <w:szCs w:val="21"/>
              </w:rPr>
            </w:pPr>
            <w:r>
              <w:rPr>
                <w:rFonts w:hint="eastAsia" w:ascii="宋体" w:hAnsi="宋体" w:cs="宋体"/>
                <w:color w:val="000000"/>
                <w:kern w:val="0"/>
                <w:szCs w:val="21"/>
              </w:rPr>
              <w:t>统计技术查到：调查表用于顾客满意度调查；用于供方调查、评价和选择；用于市场调查。</w:t>
            </w:r>
          </w:p>
          <w:p>
            <w:pPr>
              <w:spacing w:line="280" w:lineRule="exact"/>
              <w:rPr>
                <w:rFonts w:ascii="宋体" w:hAnsi="宋体" w:cs="宋体"/>
                <w:color w:val="000000"/>
                <w:kern w:val="0"/>
                <w:szCs w:val="21"/>
              </w:rPr>
            </w:pPr>
            <w:r>
              <w:rPr>
                <w:rFonts w:hint="eastAsia" w:ascii="宋体" w:hAnsi="宋体" w:cs="宋体"/>
                <w:color w:val="000000"/>
                <w:kern w:val="0"/>
                <w:szCs w:val="21"/>
              </w:rPr>
              <w:t>数据分析基本有效，但须加强，已沟通。</w:t>
            </w:r>
          </w:p>
          <w:p>
            <w:pPr>
              <w:spacing w:line="280" w:lineRule="exact"/>
              <w:ind w:firstLine="420" w:firstLineChars="200"/>
              <w:rPr>
                <w:rFonts w:ascii="宋体" w:hAnsi="宋体" w:cs="宋体"/>
                <w:szCs w:val="21"/>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员工健康防护及劳保用品发放财务投入情况</w:t>
            </w:r>
          </w:p>
        </w:tc>
        <w:tc>
          <w:tcPr>
            <w:tcW w:w="998" w:type="dxa"/>
          </w:tcPr>
          <w:p>
            <w:pPr>
              <w:spacing w:line="280" w:lineRule="exact"/>
              <w:rPr>
                <w:rFonts w:hint="eastAsia" w:ascii="宋体" w:hAnsi="宋体" w:cs="宋体"/>
                <w:szCs w:val="21"/>
              </w:rPr>
            </w:pPr>
          </w:p>
        </w:tc>
        <w:tc>
          <w:tcPr>
            <w:tcW w:w="10004" w:type="dxa"/>
            <w:vAlign w:val="center"/>
          </w:tcPr>
          <w:p>
            <w:pPr>
              <w:snapToGrid w:val="0"/>
              <w:spacing w:line="280" w:lineRule="exact"/>
              <w:ind w:firstLine="420" w:firstLineChars="200"/>
              <w:jc w:val="left"/>
              <w:rPr>
                <w:rFonts w:hint="default" w:eastAsia="宋体"/>
                <w:szCs w:val="21"/>
                <w:lang w:val="en-US" w:eastAsia="zh-CN"/>
              </w:rPr>
            </w:pPr>
            <w:r>
              <w:rPr>
                <w:rFonts w:hint="eastAsia"/>
                <w:szCs w:val="21"/>
                <w:lang w:val="en-US" w:eastAsia="zh-CN"/>
              </w:rPr>
              <w:t xml:space="preserve">自上一次审核以来，未统一组织职工健康体检，负责人介绍计划安排6月份实施；近一年来，用于发放劳保用品有手套、口罩等物品，财务负责人介绍费用 </w:t>
            </w:r>
            <w:bookmarkStart w:id="0" w:name="_GoBack"/>
            <w:bookmarkEnd w:id="0"/>
            <w:r>
              <w:rPr>
                <w:rFonts w:hint="eastAsia"/>
                <w:szCs w:val="21"/>
                <w:lang w:val="en-US" w:eastAsia="zh-CN"/>
              </w:rPr>
              <w:t>约0.8万元。</w:t>
            </w:r>
          </w:p>
        </w:tc>
        <w:tc>
          <w:tcPr>
            <w:tcW w:w="1585"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C57A3"/>
    <w:rsid w:val="001F0E7B"/>
    <w:rsid w:val="002533F4"/>
    <w:rsid w:val="00284ABB"/>
    <w:rsid w:val="00287457"/>
    <w:rsid w:val="002B36EC"/>
    <w:rsid w:val="002C22A6"/>
    <w:rsid w:val="002E29A0"/>
    <w:rsid w:val="002E55EA"/>
    <w:rsid w:val="002F05BD"/>
    <w:rsid w:val="003015FB"/>
    <w:rsid w:val="00320053"/>
    <w:rsid w:val="003273C2"/>
    <w:rsid w:val="003445A0"/>
    <w:rsid w:val="00382525"/>
    <w:rsid w:val="00384FEF"/>
    <w:rsid w:val="00397D3F"/>
    <w:rsid w:val="003C254E"/>
    <w:rsid w:val="003C3E64"/>
    <w:rsid w:val="003D3109"/>
    <w:rsid w:val="003E42F8"/>
    <w:rsid w:val="003E434A"/>
    <w:rsid w:val="004042E3"/>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A2330"/>
    <w:rsid w:val="005A23B2"/>
    <w:rsid w:val="005A2461"/>
    <w:rsid w:val="005B6C34"/>
    <w:rsid w:val="005D2531"/>
    <w:rsid w:val="005E4274"/>
    <w:rsid w:val="00604A19"/>
    <w:rsid w:val="00611AF8"/>
    <w:rsid w:val="00621EA2"/>
    <w:rsid w:val="006256EF"/>
    <w:rsid w:val="00646303"/>
    <w:rsid w:val="0066353B"/>
    <w:rsid w:val="00672093"/>
    <w:rsid w:val="00672CC5"/>
    <w:rsid w:val="00680222"/>
    <w:rsid w:val="006842EC"/>
    <w:rsid w:val="006A330D"/>
    <w:rsid w:val="006E4E1C"/>
    <w:rsid w:val="006F2650"/>
    <w:rsid w:val="006F2C8A"/>
    <w:rsid w:val="00715292"/>
    <w:rsid w:val="007469D5"/>
    <w:rsid w:val="00751977"/>
    <w:rsid w:val="0075560B"/>
    <w:rsid w:val="00756C63"/>
    <w:rsid w:val="00757BFB"/>
    <w:rsid w:val="00761387"/>
    <w:rsid w:val="00774749"/>
    <w:rsid w:val="007861D2"/>
    <w:rsid w:val="007B4E33"/>
    <w:rsid w:val="007C5A7D"/>
    <w:rsid w:val="007C6A31"/>
    <w:rsid w:val="007E6050"/>
    <w:rsid w:val="00800D15"/>
    <w:rsid w:val="00814B16"/>
    <w:rsid w:val="008242EA"/>
    <w:rsid w:val="008265BB"/>
    <w:rsid w:val="00834CE8"/>
    <w:rsid w:val="0085042B"/>
    <w:rsid w:val="008631F9"/>
    <w:rsid w:val="00863BB9"/>
    <w:rsid w:val="00871409"/>
    <w:rsid w:val="00877CE4"/>
    <w:rsid w:val="008A1509"/>
    <w:rsid w:val="008B209A"/>
    <w:rsid w:val="008B3B2F"/>
    <w:rsid w:val="008C01A2"/>
    <w:rsid w:val="008C12D7"/>
    <w:rsid w:val="008D2E87"/>
    <w:rsid w:val="008D3475"/>
    <w:rsid w:val="008E03E3"/>
    <w:rsid w:val="0092791F"/>
    <w:rsid w:val="0093178E"/>
    <w:rsid w:val="00954D65"/>
    <w:rsid w:val="00955C0E"/>
    <w:rsid w:val="00976860"/>
    <w:rsid w:val="00991AEB"/>
    <w:rsid w:val="009977CF"/>
    <w:rsid w:val="009B1072"/>
    <w:rsid w:val="009D250B"/>
    <w:rsid w:val="00A01526"/>
    <w:rsid w:val="00A12A4B"/>
    <w:rsid w:val="00A25406"/>
    <w:rsid w:val="00A30F85"/>
    <w:rsid w:val="00A52229"/>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507C"/>
    <w:rsid w:val="00BE2E8F"/>
    <w:rsid w:val="00BF35B6"/>
    <w:rsid w:val="00C174B1"/>
    <w:rsid w:val="00C277AC"/>
    <w:rsid w:val="00C41F32"/>
    <w:rsid w:val="00C4272D"/>
    <w:rsid w:val="00C44388"/>
    <w:rsid w:val="00C60481"/>
    <w:rsid w:val="00C60EB8"/>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937E0"/>
    <w:rsid w:val="00DE1A2C"/>
    <w:rsid w:val="00DE2372"/>
    <w:rsid w:val="00DE2FCE"/>
    <w:rsid w:val="00DF19AB"/>
    <w:rsid w:val="00E0114F"/>
    <w:rsid w:val="00E11BD3"/>
    <w:rsid w:val="00E17655"/>
    <w:rsid w:val="00E219A3"/>
    <w:rsid w:val="00E40731"/>
    <w:rsid w:val="00E41911"/>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B5026"/>
    <w:rsid w:val="00FB6FAA"/>
    <w:rsid w:val="00FF0A51"/>
    <w:rsid w:val="00FF1D21"/>
    <w:rsid w:val="00FF72C2"/>
    <w:rsid w:val="05FD4E63"/>
    <w:rsid w:val="0A755CD1"/>
    <w:rsid w:val="11B844E6"/>
    <w:rsid w:val="24693C3D"/>
    <w:rsid w:val="29F835A5"/>
    <w:rsid w:val="2FA26E68"/>
    <w:rsid w:val="400665A4"/>
    <w:rsid w:val="4DED56EF"/>
    <w:rsid w:val="747D06DB"/>
    <w:rsid w:val="75AC0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character" w:customStyle="1" w:styleId="14">
    <w:name w:val="正文文本 字符"/>
    <w:basedOn w:val="7"/>
    <w:link w:val="2"/>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1037</Words>
  <Characters>5913</Characters>
  <Lines>49</Lines>
  <Paragraphs>13</Paragraphs>
  <TotalTime>11</TotalTime>
  <ScaleCrop>false</ScaleCrop>
  <LinksUpToDate>false</LinksUpToDate>
  <CharactersWithSpaces>6937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2021-04-09T04:16:57Z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64127B6019B04312AD6FED61869CD9ED</vt:lpwstr>
  </property>
</Properties>
</file>