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ind w:firstLine="420" w:firstLineChars="200"/>
              <w:rPr>
                <w:rFonts w:hint="eastAsia" w:ascii="宋体" w:hAnsi="宋体" w:cs="宋体"/>
                <w:szCs w:val="21"/>
              </w:rPr>
            </w:pPr>
            <w:r>
              <w:rPr>
                <w:rFonts w:hint="eastAsia" w:ascii="宋体" w:hAnsi="宋体" w:cs="宋体"/>
                <w:szCs w:val="21"/>
              </w:rPr>
              <w:t>过程与活动、</w:t>
            </w:r>
          </w:p>
          <w:p>
            <w:pPr>
              <w:ind w:firstLine="420" w:firstLineChars="200"/>
              <w:rPr>
                <w:rFonts w:hint="eastAsia" w:ascii="宋体" w:hAnsi="宋体" w:cs="宋体"/>
                <w:szCs w:val="21"/>
              </w:rPr>
            </w:pPr>
            <w:r>
              <w:rPr>
                <w:rFonts w:hint="eastAsia" w:ascii="宋体" w:hAnsi="宋体" w:cs="宋体"/>
                <w:szCs w:val="21"/>
              </w:rPr>
              <w:t>抽样计划</w:t>
            </w:r>
          </w:p>
        </w:tc>
        <w:tc>
          <w:tcPr>
            <w:tcW w:w="998" w:type="dxa"/>
            <w:vMerge w:val="restart"/>
            <w:vAlign w:val="center"/>
          </w:tcPr>
          <w:p>
            <w:pPr>
              <w:ind w:firstLine="420" w:firstLineChars="200"/>
              <w:rPr>
                <w:rFonts w:hint="eastAsia" w:ascii="宋体" w:hAnsi="宋体" w:cs="宋体"/>
                <w:szCs w:val="21"/>
              </w:rPr>
            </w:pPr>
            <w:r>
              <w:rPr>
                <w:rFonts w:hint="eastAsia" w:ascii="宋体" w:hAnsi="宋体" w:cs="宋体"/>
                <w:szCs w:val="21"/>
              </w:rPr>
              <w:t>涉及</w:t>
            </w:r>
          </w:p>
          <w:p>
            <w:pPr>
              <w:ind w:firstLine="420" w:firstLineChars="200"/>
              <w:rPr>
                <w:rFonts w:hint="eastAsia" w:ascii="宋体" w:hAnsi="宋体" w:cs="宋体"/>
                <w:szCs w:val="21"/>
              </w:rPr>
            </w:pPr>
            <w:r>
              <w:rPr>
                <w:rFonts w:hint="eastAsia" w:ascii="宋体" w:hAnsi="宋体" w:cs="宋体"/>
                <w:szCs w:val="21"/>
              </w:rPr>
              <w:t>条款</w:t>
            </w:r>
          </w:p>
        </w:tc>
        <w:tc>
          <w:tcPr>
            <w:tcW w:w="10004" w:type="dxa"/>
            <w:vAlign w:val="center"/>
          </w:tcPr>
          <w:p>
            <w:pPr>
              <w:rPr>
                <w:sz w:val="24"/>
                <w:szCs w:val="24"/>
              </w:rPr>
            </w:pPr>
            <w:r>
              <w:rPr>
                <w:rFonts w:hint="eastAsia"/>
                <w:sz w:val="24"/>
                <w:szCs w:val="24"/>
              </w:rPr>
              <w:t xml:space="preserve">受审核部门：管理层 </w:t>
            </w:r>
            <w:r>
              <w:rPr>
                <w:sz w:val="24"/>
                <w:szCs w:val="24"/>
              </w:rPr>
              <w:t xml:space="preserve">  </w:t>
            </w:r>
            <w:r>
              <w:rPr>
                <w:rFonts w:hint="eastAsia"/>
                <w:sz w:val="24"/>
                <w:szCs w:val="24"/>
              </w:rPr>
              <w:t xml:space="preserve">主管领导：许振红 </w:t>
            </w:r>
            <w:r>
              <w:rPr>
                <w:sz w:val="24"/>
                <w:szCs w:val="24"/>
              </w:rPr>
              <w:t xml:space="preserve">  </w:t>
            </w:r>
            <w:r>
              <w:rPr>
                <w:rFonts w:hint="eastAsia"/>
                <w:sz w:val="24"/>
                <w:szCs w:val="24"/>
              </w:rPr>
              <w:t>陪同人员：浦其炳</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pPr>
              <w:ind w:firstLine="420" w:firstLineChars="200"/>
              <w:rPr>
                <w:rFonts w:hint="eastAsia" w:ascii="宋体" w:hAnsi="宋体" w:cs="宋体"/>
                <w:szCs w:val="21"/>
              </w:rPr>
            </w:pPr>
          </w:p>
        </w:tc>
        <w:tc>
          <w:tcPr>
            <w:tcW w:w="998" w:type="dxa"/>
            <w:vMerge w:val="continue"/>
            <w:vAlign w:val="center"/>
          </w:tcPr>
          <w:p>
            <w:pPr>
              <w:ind w:firstLine="420" w:firstLineChars="200"/>
              <w:rPr>
                <w:rFonts w:hint="eastAsia" w:ascii="宋体" w:hAnsi="宋体" w:cs="宋体"/>
                <w:szCs w:val="21"/>
              </w:rPr>
            </w:pPr>
          </w:p>
        </w:tc>
        <w:tc>
          <w:tcPr>
            <w:tcW w:w="10004" w:type="dxa"/>
            <w:vAlign w:val="center"/>
          </w:tcPr>
          <w:p>
            <w:pPr>
              <w:spacing w:before="120"/>
              <w:rPr>
                <w:rFonts w:hint="eastAsia" w:eastAsia="宋体"/>
                <w:sz w:val="24"/>
                <w:szCs w:val="24"/>
                <w:lang w:eastAsia="zh-CN"/>
              </w:rPr>
            </w:pPr>
            <w:r>
              <w:rPr>
                <w:rFonts w:hint="eastAsia"/>
                <w:sz w:val="24"/>
                <w:szCs w:val="24"/>
              </w:rPr>
              <w:t xml:space="preserve">审核员：林兵、任泽华 </w:t>
            </w:r>
            <w:r>
              <w:rPr>
                <w:sz w:val="24"/>
                <w:szCs w:val="24"/>
              </w:rPr>
              <w:t xml:space="preserve"> </w:t>
            </w:r>
            <w:r>
              <w:rPr>
                <w:rFonts w:hint="eastAsia"/>
                <w:sz w:val="24"/>
                <w:szCs w:val="24"/>
              </w:rPr>
              <w:t xml:space="preserve"> </w:t>
            </w:r>
            <w:r>
              <w:rPr>
                <w:sz w:val="24"/>
                <w:szCs w:val="24"/>
              </w:rPr>
              <w:t xml:space="preserve"> </w:t>
            </w:r>
            <w:r>
              <w:rPr>
                <w:rFonts w:hint="eastAsia"/>
                <w:sz w:val="24"/>
                <w:szCs w:val="24"/>
              </w:rPr>
              <w:t>审核时间：2</w:t>
            </w:r>
            <w:r>
              <w:rPr>
                <w:sz w:val="24"/>
                <w:szCs w:val="24"/>
              </w:rPr>
              <w:t>02</w:t>
            </w:r>
            <w:r>
              <w:rPr>
                <w:rFonts w:hint="eastAsia"/>
                <w:sz w:val="24"/>
                <w:szCs w:val="24"/>
                <w:lang w:val="en-US" w:eastAsia="zh-CN"/>
              </w:rPr>
              <w:t>1</w:t>
            </w:r>
            <w:r>
              <w:rPr>
                <w:sz w:val="24"/>
                <w:szCs w:val="24"/>
              </w:rPr>
              <w:t>.</w:t>
            </w:r>
            <w:r>
              <w:rPr>
                <w:rFonts w:hint="eastAsia"/>
                <w:sz w:val="24"/>
                <w:szCs w:val="24"/>
                <w:lang w:val="en-US" w:eastAsia="zh-CN"/>
              </w:rPr>
              <w:t>4</w:t>
            </w:r>
            <w:r>
              <w:rPr>
                <w:sz w:val="24"/>
                <w:szCs w:val="24"/>
              </w:rPr>
              <w:t>.</w:t>
            </w:r>
            <w:r>
              <w:rPr>
                <w:rFonts w:hint="eastAsia"/>
                <w:sz w:val="24"/>
                <w:szCs w:val="24"/>
                <w:lang w:val="en-US" w:eastAsia="zh-CN"/>
              </w:rPr>
              <w:t>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pPr>
              <w:ind w:firstLine="420" w:firstLineChars="200"/>
              <w:rPr>
                <w:rFonts w:hint="eastAsia" w:ascii="宋体" w:hAnsi="宋体" w:cs="宋体"/>
                <w:szCs w:val="21"/>
              </w:rPr>
            </w:pPr>
          </w:p>
        </w:tc>
        <w:tc>
          <w:tcPr>
            <w:tcW w:w="998" w:type="dxa"/>
            <w:vMerge w:val="continue"/>
            <w:vAlign w:val="center"/>
          </w:tcPr>
          <w:p>
            <w:pPr>
              <w:ind w:firstLine="420" w:firstLineChars="200"/>
              <w:rPr>
                <w:rFonts w:hint="eastAsia" w:ascii="宋体" w:hAnsi="宋体" w:cs="宋体"/>
                <w:szCs w:val="21"/>
              </w:rPr>
            </w:pPr>
          </w:p>
        </w:tc>
        <w:tc>
          <w:tcPr>
            <w:tcW w:w="10004" w:type="dxa"/>
            <w:vAlign w:val="center"/>
          </w:tcPr>
          <w:p>
            <w:pPr>
              <w:adjustRightInd w:val="0"/>
              <w:snapToGrid w:val="0"/>
              <w:ind w:right="105" w:rightChars="50"/>
              <w:textAlignment w:val="baseline"/>
              <w:rPr>
                <w:sz w:val="24"/>
                <w:szCs w:val="24"/>
              </w:rPr>
            </w:pPr>
            <w:r>
              <w:rPr>
                <w:rFonts w:hint="eastAsia"/>
                <w:sz w:val="24"/>
                <w:szCs w:val="24"/>
              </w:rPr>
              <w:t>审核条款：</w:t>
            </w:r>
            <w:r>
              <w:rPr>
                <w:rFonts w:hint="eastAsia" w:ascii="宋体" w:hAnsi="宋体" w:cs="Arial"/>
                <w:spacing w:val="-6"/>
                <w:sz w:val="21"/>
                <w:szCs w:val="21"/>
              </w:rPr>
              <w:t>QEO:4.1理解组织及其环境、4.2理解相关方的需求和期望、4.3 确定管理体系的范围、4.4质量/环境/</w:t>
            </w:r>
            <w:r>
              <w:rPr>
                <w:rFonts w:hint="eastAsia" w:ascii="宋体" w:hAnsi="宋体" w:cs="Arial"/>
                <w:sz w:val="21"/>
                <w:szCs w:val="21"/>
              </w:rPr>
              <w:t>职业健康</w:t>
            </w:r>
            <w:r>
              <w:rPr>
                <w:rFonts w:hint="eastAsia" w:ascii="宋体" w:hAnsi="宋体" w:cs="Arial"/>
                <w:spacing w:val="-6"/>
                <w:sz w:val="21"/>
                <w:szCs w:val="21"/>
              </w:rPr>
              <w:t>安全管理体系及其过程、5.1领导作用和承诺、5.2质量/环境/</w:t>
            </w:r>
            <w:r>
              <w:rPr>
                <w:rFonts w:hint="eastAsia" w:ascii="宋体" w:hAnsi="宋体" w:cs="Arial"/>
                <w:sz w:val="21"/>
                <w:szCs w:val="21"/>
              </w:rPr>
              <w:t>职业健康</w:t>
            </w:r>
            <w:r>
              <w:rPr>
                <w:rFonts w:hint="eastAsia" w:ascii="宋体" w:hAnsi="宋体" w:cs="Arial"/>
                <w:spacing w:val="-6"/>
                <w:sz w:val="21"/>
                <w:szCs w:val="21"/>
              </w:rPr>
              <w:t>安全方针、5.3组织的岗位、职责和权限、O5.4协商与参与、6.1应对风险和机遇的措施、6.2质量/环境/</w:t>
            </w:r>
            <w:r>
              <w:rPr>
                <w:rFonts w:hint="eastAsia" w:ascii="宋体" w:hAnsi="宋体" w:cs="Arial"/>
                <w:sz w:val="21"/>
                <w:szCs w:val="21"/>
              </w:rPr>
              <w:t>职业健康</w:t>
            </w:r>
            <w:r>
              <w:rPr>
                <w:rFonts w:hint="eastAsia" w:ascii="宋体" w:hAnsi="宋体" w:cs="Arial"/>
                <w:spacing w:val="-6"/>
                <w:sz w:val="21"/>
                <w:szCs w:val="21"/>
              </w:rPr>
              <w:t>安全目标及其实现的策划、Q6.3变更的策划、7.1.1（EO7.1）资源总则、7.4沟通/信息交流、</w:t>
            </w:r>
            <w:r>
              <w:rPr>
                <w:rFonts w:hint="eastAsia" w:ascii="宋体" w:hAnsi="宋体" w:cs="Arial"/>
                <w:sz w:val="21"/>
                <w:szCs w:val="21"/>
              </w:rPr>
              <w:t>9.2 内部审核、</w:t>
            </w:r>
            <w:r>
              <w:rPr>
                <w:rFonts w:hint="eastAsia" w:ascii="宋体" w:hAnsi="宋体" w:cs="Arial"/>
                <w:spacing w:val="-6"/>
                <w:sz w:val="21"/>
                <w:szCs w:val="21"/>
              </w:rPr>
              <w:t>9.3管理评审、10.1改进、10.3持续改进，国家/地方监督抽查情况；顾客满意、相关方投诉及处理情况；上次审核不符合验证，变更，证书及标志使用，验证企业相关资质证明的有效性；</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22" w:type="dxa"/>
          </w:tcPr>
          <w:p>
            <w:pPr>
              <w:ind w:firstLine="420" w:firstLineChars="200"/>
              <w:rPr>
                <w:rFonts w:hint="eastAsia" w:ascii="宋体" w:hAnsi="宋体" w:cs="宋体"/>
                <w:szCs w:val="21"/>
              </w:rPr>
            </w:pPr>
            <w:r>
              <w:rPr>
                <w:rFonts w:hint="eastAsia" w:ascii="宋体" w:hAnsi="宋体" w:cs="宋体"/>
                <w:szCs w:val="21"/>
              </w:rPr>
              <w:t>理解组织及其环境</w:t>
            </w:r>
          </w:p>
          <w:p>
            <w:pPr>
              <w:rPr>
                <w:rFonts w:hint="eastAsia" w:ascii="宋体" w:hAnsi="宋体" w:cs="宋体"/>
                <w:szCs w:val="21"/>
              </w:rPr>
            </w:pPr>
            <w:r>
              <w:rPr>
                <w:rFonts w:hint="eastAsia" w:ascii="宋体" w:hAnsi="宋体" w:cs="宋体"/>
                <w:szCs w:val="21"/>
              </w:rPr>
              <w:t>确定管理体系的范围</w:t>
            </w:r>
          </w:p>
        </w:tc>
        <w:tc>
          <w:tcPr>
            <w:tcW w:w="998" w:type="dxa"/>
          </w:tcPr>
          <w:p>
            <w:pPr>
              <w:rPr>
                <w:rFonts w:hint="eastAsia" w:ascii="宋体" w:hAnsi="宋体" w:cs="宋体"/>
                <w:szCs w:val="21"/>
              </w:rPr>
            </w:pPr>
            <w:r>
              <w:rPr>
                <w:rFonts w:hint="eastAsia" w:ascii="宋体" w:hAnsi="宋体" w:cs="宋体"/>
                <w:szCs w:val="21"/>
              </w:rPr>
              <w:t>QEO</w:t>
            </w:r>
          </w:p>
          <w:p>
            <w:pPr>
              <w:rPr>
                <w:rFonts w:hint="eastAsia" w:ascii="宋体" w:hAnsi="宋体" w:cs="宋体"/>
                <w:szCs w:val="21"/>
              </w:rPr>
            </w:pPr>
            <w:r>
              <w:rPr>
                <w:rFonts w:hint="eastAsia" w:ascii="宋体" w:hAnsi="宋体" w:cs="宋体"/>
                <w:szCs w:val="21"/>
              </w:rPr>
              <w:t>4.1</w:t>
            </w:r>
          </w:p>
          <w:p>
            <w:pPr>
              <w:rPr>
                <w:rFonts w:hint="eastAsia" w:ascii="宋体" w:hAnsi="宋体" w:cs="宋体"/>
                <w:szCs w:val="21"/>
              </w:rPr>
            </w:pPr>
            <w:r>
              <w:rPr>
                <w:rFonts w:hint="eastAsia" w:ascii="宋体" w:hAnsi="宋体" w:cs="宋体"/>
                <w:szCs w:val="21"/>
              </w:rPr>
              <w:t>QEO</w:t>
            </w:r>
          </w:p>
          <w:p>
            <w:pPr>
              <w:rPr>
                <w:rFonts w:hint="eastAsia" w:ascii="宋体" w:hAnsi="宋体" w:cs="宋体"/>
                <w:szCs w:val="21"/>
              </w:rPr>
            </w:pPr>
            <w:r>
              <w:rPr>
                <w:rFonts w:hint="eastAsia" w:ascii="宋体" w:hAnsi="宋体" w:cs="宋体"/>
                <w:szCs w:val="21"/>
              </w:rPr>
              <w:t>4.3</w:t>
            </w:r>
          </w:p>
          <w:p>
            <w:pPr>
              <w:rPr>
                <w:rFonts w:hint="eastAsia" w:ascii="宋体" w:hAnsi="宋体" w:cs="宋体"/>
                <w:szCs w:val="21"/>
              </w:rPr>
            </w:pPr>
            <w:r>
              <w:rPr>
                <w:rFonts w:hint="eastAsia" w:ascii="宋体" w:hAnsi="宋体" w:cs="宋体"/>
                <w:szCs w:val="21"/>
              </w:rPr>
              <w:t>企业资质国/地监督检查客户和相关方投诉及处理</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w:t>
            </w:r>
            <w:r>
              <w:rPr>
                <w:rFonts w:hint="eastAsia" w:ascii="宋体" w:hAnsi="宋体" w:cs="宋体"/>
                <w:szCs w:val="21"/>
                <w:lang w:val="en-US" w:eastAsia="zh-CN"/>
              </w:rPr>
              <w:t>营业执照信息、生产注册地址、人员信息未变化</w:t>
            </w:r>
            <w:r>
              <w:rPr>
                <w:rFonts w:hint="eastAsia" w:ascii="宋体" w:hAnsi="宋体" w:cs="宋体"/>
                <w:szCs w:val="21"/>
              </w:rPr>
              <w:t>。</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rPr>
              <w:t>认证范围为</w:t>
            </w:r>
            <w:r>
              <w:rPr>
                <w:rFonts w:hint="eastAsia" w:ascii="宋体" w:hAnsi="宋体" w:cs="宋体"/>
                <w:szCs w:val="21"/>
                <w:lang w:val="en-US" w:eastAsia="zh-CN"/>
              </w:rPr>
              <w:t>未变化。</w:t>
            </w:r>
          </w:p>
          <w:p>
            <w:pPr>
              <w:spacing w:line="280" w:lineRule="exact"/>
              <w:ind w:firstLine="420" w:firstLineChars="200"/>
              <w:rPr>
                <w:rFonts w:ascii="宋体" w:hAnsi="宋体" w:cs="宋体"/>
                <w:szCs w:val="21"/>
              </w:rPr>
            </w:pPr>
            <w:r>
              <w:rPr>
                <w:rFonts w:hint="eastAsia" w:ascii="宋体" w:hAnsi="宋体" w:cs="宋体"/>
                <w:szCs w:val="21"/>
              </w:rPr>
              <w:t>公司管理体系设置</w:t>
            </w:r>
            <w:r>
              <w:rPr>
                <w:rFonts w:hint="eastAsia" w:ascii="宋体" w:hAnsi="宋体" w:cs="宋体"/>
                <w:szCs w:val="21"/>
                <w:lang w:val="en-US" w:eastAsia="zh-CN"/>
              </w:rPr>
              <w:t>的部门未变化</w:t>
            </w:r>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rPr>
              <w:t>《建设项目环境影响登记表》，</w:t>
            </w:r>
            <w:r>
              <w:rPr>
                <w:rFonts w:hint="eastAsia" w:ascii="宋体" w:hAnsi="宋体" w:cs="宋体"/>
                <w:szCs w:val="21"/>
                <w:lang w:val="en-US" w:eastAsia="zh-CN"/>
              </w:rPr>
              <w:t>仍为2020年的登记表</w:t>
            </w:r>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rPr>
              <w:t>总经理许振红</w:t>
            </w:r>
            <w:r>
              <w:rPr>
                <w:rFonts w:hint="eastAsia" w:ascii="宋体" w:hAnsi="宋体" w:cs="宋体"/>
                <w:szCs w:val="21"/>
                <w:lang w:val="en-US" w:eastAsia="zh-CN"/>
              </w:rPr>
              <w:t>介绍，</w:t>
            </w:r>
            <w:r>
              <w:rPr>
                <w:rFonts w:hint="eastAsia" w:ascii="宋体" w:hAnsi="宋体" w:cs="宋体"/>
                <w:szCs w:val="21"/>
              </w:rPr>
              <w:t>公司</w:t>
            </w:r>
            <w:r>
              <w:rPr>
                <w:rFonts w:hint="eastAsia" w:ascii="宋体" w:hAnsi="宋体" w:cs="宋体"/>
                <w:szCs w:val="21"/>
                <w:lang w:val="en-US" w:eastAsia="zh-CN"/>
              </w:rPr>
              <w:t>经过一年的体系</w:t>
            </w:r>
            <w:r>
              <w:rPr>
                <w:rFonts w:hint="eastAsia" w:ascii="宋体" w:hAnsi="宋体" w:cs="宋体"/>
                <w:szCs w:val="21"/>
              </w:rPr>
              <w:t>推行</w:t>
            </w:r>
            <w:r>
              <w:rPr>
                <w:rFonts w:hint="eastAsia" w:ascii="宋体" w:hAnsi="宋体" w:cs="宋体"/>
                <w:szCs w:val="21"/>
                <w:lang w:eastAsia="zh-CN"/>
              </w:rPr>
              <w:t>，</w:t>
            </w:r>
            <w:r>
              <w:rPr>
                <w:rFonts w:hint="eastAsia" w:ascii="宋体" w:hAnsi="宋体" w:cs="宋体"/>
                <w:szCs w:val="21"/>
                <w:lang w:val="en-US" w:eastAsia="zh-CN"/>
              </w:rPr>
              <w:t>现场管理和产品质量稳定性方面逐步提升，从检验方面来看，部件验收和设备出厂调试记录趋于规范</w:t>
            </w:r>
            <w:r>
              <w:rPr>
                <w:rFonts w:hint="eastAsia" w:ascii="宋体" w:hAnsi="宋体" w:cs="宋体"/>
                <w:szCs w:val="21"/>
              </w:rPr>
              <w:t>。</w:t>
            </w:r>
            <w:r>
              <w:rPr>
                <w:rFonts w:hint="eastAsia" w:ascii="宋体" w:hAnsi="宋体" w:cs="宋体"/>
                <w:szCs w:val="21"/>
                <w:lang w:val="en-US" w:eastAsia="zh-CN"/>
              </w:rPr>
              <w:t>对于</w:t>
            </w:r>
            <w:r>
              <w:rPr>
                <w:rFonts w:hint="eastAsia" w:ascii="宋体" w:hAnsi="宋体" w:cs="宋体"/>
                <w:szCs w:val="21"/>
              </w:rPr>
              <w:t>内部因素和外部因素</w:t>
            </w:r>
            <w:r>
              <w:rPr>
                <w:rFonts w:hint="eastAsia" w:ascii="宋体" w:hAnsi="宋体" w:cs="宋体"/>
                <w:szCs w:val="21"/>
                <w:lang w:val="en-US" w:eastAsia="zh-CN"/>
              </w:rPr>
              <w:t>2021年度重新分析</w:t>
            </w:r>
            <w:r>
              <w:rPr>
                <w:rFonts w:hint="eastAsia" w:ascii="宋体" w:hAnsi="宋体" w:cs="宋体"/>
                <w:szCs w:val="21"/>
              </w:rPr>
              <w:t>。公司每年管理部根据由公司各部门的行政、采购、销售等人员从政府、供应商、市场、客户、网络等搜集到的信息并结合公司自身业务运作情况进行分析，通过分析对这些内部和外部因素的相关信息进行监视和评审以确保其充分和适宜。</w:t>
            </w:r>
          </w:p>
          <w:p>
            <w:pPr>
              <w:spacing w:line="280" w:lineRule="exact"/>
              <w:ind w:firstLine="420" w:firstLineChars="200"/>
              <w:rPr>
                <w:rFonts w:ascii="宋体" w:hAnsi="宋体" w:cs="宋体"/>
                <w:szCs w:val="21"/>
              </w:rPr>
            </w:pPr>
            <w:r>
              <w:rPr>
                <w:rFonts w:hint="eastAsia" w:ascii="宋体" w:hAnsi="宋体" w:cs="宋体"/>
                <w:szCs w:val="21"/>
              </w:rPr>
              <w:t>询问总经理，体系运行以来，没有发生重大顾客投诉、环境或职业健康安全事故等，无行业抽查等情况。目前公司共有</w:t>
            </w:r>
            <w:r>
              <w:rPr>
                <w:rFonts w:ascii="宋体" w:hAnsi="宋体" w:cs="宋体"/>
                <w:szCs w:val="21"/>
              </w:rPr>
              <w:t>25</w:t>
            </w:r>
            <w:r>
              <w:rPr>
                <w:rFonts w:hint="eastAsia" w:ascii="宋体" w:hAnsi="宋体" w:cs="宋体"/>
                <w:szCs w:val="21"/>
              </w:rPr>
              <w:t>人，与申请基本</w:t>
            </w:r>
            <w:r>
              <w:rPr>
                <w:rFonts w:hint="eastAsia" w:ascii="宋体" w:hAnsi="宋体" w:cs="宋体"/>
                <w:szCs w:val="21"/>
                <w:lang w:val="en-US" w:eastAsia="zh-CN"/>
              </w:rPr>
              <w:t>保持</w:t>
            </w:r>
            <w:r>
              <w:rPr>
                <w:rFonts w:hint="eastAsia" w:ascii="宋体" w:hAnsi="宋体" w:cs="宋体"/>
                <w:szCs w:val="21"/>
              </w:rPr>
              <w:t>一致。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22" w:type="dxa"/>
          </w:tcPr>
          <w:p>
            <w:pPr>
              <w:rPr>
                <w:rFonts w:hint="eastAsia" w:ascii="宋体" w:hAnsi="宋体" w:cs="宋体"/>
                <w:szCs w:val="21"/>
              </w:rPr>
            </w:pPr>
            <w:r>
              <w:rPr>
                <w:rFonts w:hint="eastAsia" w:ascii="宋体" w:hAnsi="宋体" w:cs="宋体"/>
                <w:szCs w:val="21"/>
              </w:rPr>
              <w:t>理解相关方的需求和期望</w:t>
            </w:r>
          </w:p>
        </w:tc>
        <w:tc>
          <w:tcPr>
            <w:tcW w:w="998" w:type="dxa"/>
          </w:tcPr>
          <w:p>
            <w:pPr>
              <w:rPr>
                <w:rFonts w:hint="eastAsia" w:ascii="宋体" w:hAnsi="宋体" w:cs="宋体"/>
                <w:szCs w:val="21"/>
              </w:rPr>
            </w:pPr>
            <w:r>
              <w:rPr>
                <w:rFonts w:hint="eastAsia" w:ascii="宋体" w:hAnsi="宋体" w:cs="宋体"/>
                <w:szCs w:val="21"/>
              </w:rPr>
              <w:t>QEO4.2</w:t>
            </w:r>
          </w:p>
        </w:tc>
        <w:tc>
          <w:tcPr>
            <w:tcW w:w="10004" w:type="dxa"/>
            <w:vAlign w:val="center"/>
          </w:tcPr>
          <w:p>
            <w:pPr>
              <w:spacing w:line="280" w:lineRule="exact"/>
              <w:ind w:firstLine="420" w:firstLineChars="200"/>
              <w:rPr>
                <w:rFonts w:ascii="宋体" w:hAnsi="宋体" w:cs="宋体"/>
                <w:szCs w:val="21"/>
              </w:rPr>
            </w:pPr>
            <w:r>
              <w:rPr>
                <w:rFonts w:hint="eastAsia" w:asciiTheme="minorEastAsia" w:hAnsiTheme="minorEastAsia" w:eastAsiaTheme="minorEastAsia"/>
                <w:szCs w:val="24"/>
              </w:rPr>
              <w:t>由办公室</w:t>
            </w:r>
            <w:r>
              <w:rPr>
                <w:rFonts w:hint="eastAsia" w:asciiTheme="minorEastAsia" w:hAnsiTheme="minorEastAsia" w:eastAsiaTheme="minorEastAsia"/>
                <w:szCs w:val="24"/>
                <w:lang w:val="zh-CN"/>
              </w:rPr>
              <w:t>负责组织对相关方的评估，提供 《组织的相关方需求和期望调查表》，</w:t>
            </w:r>
            <w:r>
              <w:rPr>
                <w:rFonts w:hint="eastAsia" w:asciiTheme="minorEastAsia" w:hAnsiTheme="minorEastAsia" w:eastAsiaTheme="minorEastAsia"/>
                <w:szCs w:val="24"/>
              </w:rPr>
              <w:t>分析了顾客、员工、股东、供方等需求和期望，并各自规定评审项目指标</w:t>
            </w:r>
            <w:r>
              <w:rPr>
                <w:rFonts w:hint="eastAsia" w:asciiTheme="minorEastAsia" w:hAnsiTheme="minorEastAsia" w:eastAsiaTheme="minorEastAsia"/>
                <w:szCs w:val="24"/>
                <w:lang w:val="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2122" w:type="dxa"/>
          </w:tcPr>
          <w:p>
            <w:pPr>
              <w:rPr>
                <w:rFonts w:hint="eastAsia" w:ascii="宋体" w:hAnsi="宋体" w:cs="宋体"/>
                <w:szCs w:val="21"/>
              </w:rPr>
            </w:pPr>
            <w:r>
              <w:rPr>
                <w:rFonts w:hint="eastAsia" w:ascii="宋体" w:hAnsi="宋体" w:cs="宋体"/>
                <w:szCs w:val="21"/>
              </w:rPr>
              <w:t>质量/环境/职业健康安全管理体系及其过程</w:t>
            </w:r>
          </w:p>
        </w:tc>
        <w:tc>
          <w:tcPr>
            <w:tcW w:w="998" w:type="dxa"/>
          </w:tcPr>
          <w:p>
            <w:pPr>
              <w:rPr>
                <w:rFonts w:hint="eastAsia" w:ascii="宋体" w:hAnsi="宋体" w:cs="宋体"/>
                <w:szCs w:val="21"/>
              </w:rPr>
            </w:pPr>
            <w:r>
              <w:rPr>
                <w:rFonts w:hint="eastAsia" w:ascii="宋体" w:hAnsi="宋体" w:cs="宋体"/>
                <w:szCs w:val="21"/>
              </w:rPr>
              <w:t>QEO4.4</w:t>
            </w:r>
          </w:p>
        </w:tc>
        <w:tc>
          <w:tcPr>
            <w:tcW w:w="10004" w:type="dxa"/>
          </w:tcPr>
          <w:p>
            <w:pPr>
              <w:ind w:firstLine="420" w:firstLineChars="200"/>
              <w:rPr>
                <w:rFonts w:hint="default" w:eastAsia="宋体"/>
                <w:lang w:val="en-US" w:eastAsia="zh-CN"/>
              </w:rPr>
            </w:pPr>
            <w:r>
              <w:rPr>
                <w:rFonts w:hint="eastAsia"/>
                <w:lang w:val="en-US" w:eastAsia="zh-CN"/>
              </w:rPr>
              <w:t>体系运行以来，范围未变化。</w:t>
            </w:r>
            <w:r>
              <w:rPr>
                <w:rFonts w:hint="eastAsia" w:ascii="宋体" w:hAnsi="宋体" w:cs="宋体"/>
                <w:szCs w:val="21"/>
              </w:rPr>
              <w:t>识别的外包过程为物流运输，按采购控制。</w:t>
            </w:r>
            <w:r>
              <w:rPr>
                <w:rFonts w:hint="eastAsia" w:ascii="宋体" w:hAnsi="宋体" w:cs="宋体"/>
                <w:szCs w:val="21"/>
                <w:lang w:val="en-US" w:eastAsia="zh-CN"/>
              </w:rPr>
              <w:t>无条款删减。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vAlign w:val="center"/>
          </w:tcPr>
          <w:p>
            <w:pPr>
              <w:rPr>
                <w:b/>
                <w:szCs w:val="21"/>
              </w:rPr>
            </w:pPr>
            <w:r>
              <w:rPr>
                <w:rFonts w:hint="eastAsia" w:asciiTheme="minorEastAsia" w:hAnsiTheme="minorEastAsia" w:eastAsiaTheme="minorEastAsia"/>
                <w:szCs w:val="24"/>
              </w:rPr>
              <w:t>领导作用和承诺、组织的岗位职责和权限</w:t>
            </w:r>
          </w:p>
        </w:tc>
        <w:tc>
          <w:tcPr>
            <w:tcW w:w="998" w:type="dxa"/>
            <w:vAlign w:val="center"/>
          </w:tcPr>
          <w:p>
            <w:pPr>
              <w:rPr>
                <w:b/>
                <w:szCs w:val="21"/>
              </w:rPr>
            </w:pPr>
            <w:r>
              <w:rPr>
                <w:rFonts w:hint="eastAsia" w:asciiTheme="minorEastAsia" w:hAnsiTheme="minorEastAsia" w:eastAsiaTheme="minorEastAsia"/>
                <w:szCs w:val="24"/>
              </w:rPr>
              <w:t xml:space="preserve">Q/E/O：5.1，5.3  </w:t>
            </w:r>
          </w:p>
        </w:tc>
        <w:tc>
          <w:tcPr>
            <w:tcW w:w="10004"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lang w:val="en-US" w:eastAsia="zh-CN"/>
              </w:rPr>
              <w:t>从提供的材料来看</w:t>
            </w:r>
            <w:r>
              <w:rPr>
                <w:rFonts w:hint="eastAsia" w:asciiTheme="minorEastAsia" w:hAnsiTheme="minorEastAsia" w:eastAsiaTheme="minorEastAsia"/>
                <w:szCs w:val="24"/>
              </w:rPr>
              <w:t>，公司成立以来确定了各个部门及其职责，建立文件化的管理体系，公司各部门沟通信息传递良好。</w:t>
            </w:r>
          </w:p>
          <w:p>
            <w:pPr>
              <w:spacing w:line="360" w:lineRule="auto"/>
              <w:rPr>
                <w:rFonts w:hint="default" w:asciiTheme="minorEastAsia" w:hAnsiTheme="minorEastAsia" w:eastAsiaTheme="minorEastAsia"/>
                <w:szCs w:val="24"/>
                <w:lang w:val="en-US" w:eastAsia="zh-CN"/>
              </w:rPr>
            </w:pPr>
            <w:r>
              <w:rPr>
                <w:rFonts w:hint="eastAsia" w:asciiTheme="minorEastAsia" w:hAnsiTheme="minorEastAsia" w:eastAsiaTheme="minorEastAsia"/>
                <w:szCs w:val="24"/>
              </w:rPr>
              <w:t>总经理负责公司全面运行，</w:t>
            </w:r>
            <w:r>
              <w:rPr>
                <w:rFonts w:hint="eastAsia" w:asciiTheme="minorEastAsia" w:hAnsiTheme="minorEastAsia" w:eastAsiaTheme="minorEastAsia"/>
                <w:color w:val="000000"/>
                <w:szCs w:val="24"/>
              </w:rPr>
              <w:t>负责组织制定方针、目标、管理评审等工作.</w:t>
            </w:r>
            <w:r>
              <w:rPr>
                <w:rFonts w:hint="eastAsia" w:asciiTheme="minorEastAsia" w:hAnsiTheme="minorEastAsia" w:eastAsiaTheme="minorEastAsia"/>
                <w:szCs w:val="24"/>
              </w:rPr>
              <w:t>管代</w:t>
            </w:r>
            <w:r>
              <w:rPr>
                <w:sz w:val="21"/>
                <w:szCs w:val="21"/>
              </w:rPr>
              <w:t>杨岑</w:t>
            </w:r>
            <w:r>
              <w:rPr>
                <w:rFonts w:hint="eastAsia" w:asciiTheme="minorEastAsia" w:hAnsiTheme="minorEastAsia" w:eastAsiaTheme="minorEastAsia"/>
                <w:szCs w:val="24"/>
              </w:rPr>
              <w:t>主要负责体系工作，其职责</w:t>
            </w:r>
            <w:r>
              <w:rPr>
                <w:rFonts w:hint="eastAsia" w:asciiTheme="minorEastAsia" w:hAnsiTheme="minorEastAsia" w:eastAsiaTheme="minorEastAsia"/>
                <w:szCs w:val="24"/>
                <w:lang w:val="en-US" w:eastAsia="zh-CN"/>
              </w:rPr>
              <w:t>未变化；</w:t>
            </w:r>
            <w:bookmarkStart w:id="0" w:name="_GoBack"/>
            <w:bookmarkEnd w:id="0"/>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总经理对公司体系的运行持续提供必需的资源，总体能履行其管理承诺。</w:t>
            </w:r>
          </w:p>
          <w:p>
            <w:pPr>
              <w:spacing w:line="280" w:lineRule="exact"/>
              <w:ind w:firstLine="420" w:firstLineChars="200"/>
              <w:rPr>
                <w:b/>
                <w:szCs w:val="21"/>
              </w:rPr>
            </w:pPr>
            <w:r>
              <w:rPr>
                <w:rFonts w:hint="eastAsia" w:asciiTheme="minorEastAsia" w:hAnsiTheme="minorEastAsia" w:eastAsiaTheme="minorEastAsia"/>
                <w:szCs w:val="24"/>
              </w:rPr>
              <w:t>经交流总经理和管代熟悉管理体系的基本运行情况。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2122" w:type="dxa"/>
          </w:tcPr>
          <w:p>
            <w:pPr>
              <w:spacing w:line="280" w:lineRule="exact"/>
              <w:rPr>
                <w:rFonts w:ascii="宋体" w:hAnsi="宋体" w:cs="宋体"/>
                <w:szCs w:val="21"/>
              </w:rPr>
            </w:pPr>
            <w:r>
              <w:rPr>
                <w:rFonts w:hint="eastAsia" w:ascii="宋体" w:hAnsi="宋体" w:cs="宋体"/>
                <w:szCs w:val="21"/>
              </w:rPr>
              <w:t>以顾客为关注焦点</w:t>
            </w:r>
          </w:p>
          <w:p>
            <w:pPr>
              <w:spacing w:line="280" w:lineRule="exact"/>
              <w:rPr>
                <w:b/>
                <w:szCs w:val="21"/>
              </w:rPr>
            </w:pPr>
          </w:p>
        </w:tc>
        <w:tc>
          <w:tcPr>
            <w:tcW w:w="998" w:type="dxa"/>
          </w:tcPr>
          <w:p>
            <w:pPr>
              <w:spacing w:line="280" w:lineRule="exact"/>
              <w:rPr>
                <w:rFonts w:ascii="宋体" w:hAnsi="宋体" w:cs="宋体"/>
                <w:szCs w:val="21"/>
              </w:rPr>
            </w:pPr>
            <w:r>
              <w:rPr>
                <w:rFonts w:hint="eastAsia" w:ascii="宋体" w:hAnsi="宋体" w:cs="宋体"/>
                <w:szCs w:val="21"/>
              </w:rPr>
              <w:t>Q5.1.2</w:t>
            </w:r>
          </w:p>
          <w:p>
            <w:pPr>
              <w:spacing w:line="280" w:lineRule="exact"/>
              <w:rPr>
                <w:b/>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总经理证实其以顾客为关注焦点的领导作用和承诺，通过以下方面实现：</w:t>
            </w:r>
          </w:p>
          <w:p>
            <w:pPr>
              <w:spacing w:line="280" w:lineRule="exact"/>
              <w:ind w:firstLine="420" w:firstLineChars="200"/>
              <w:rPr>
                <w:rFonts w:ascii="宋体" w:hAnsi="宋体" w:cs="宋体"/>
                <w:szCs w:val="21"/>
              </w:rPr>
            </w:pPr>
            <w:r>
              <w:rPr>
                <w:rFonts w:hint="eastAsia" w:ascii="宋体" w:hAnsi="宋体" w:cs="宋体"/>
                <w:szCs w:val="21"/>
              </w:rPr>
              <w:t>a) 确定、理解并持续满足顾客要求以及适用的法律法规要求；</w:t>
            </w:r>
          </w:p>
          <w:p>
            <w:pPr>
              <w:spacing w:line="280" w:lineRule="exact"/>
              <w:ind w:firstLine="420" w:firstLineChars="200"/>
              <w:rPr>
                <w:rFonts w:ascii="宋体" w:hAnsi="宋体" w:cs="宋体"/>
                <w:szCs w:val="21"/>
              </w:rPr>
            </w:pPr>
            <w:r>
              <w:rPr>
                <w:rFonts w:hint="eastAsia" w:ascii="宋体" w:hAnsi="宋体" w:cs="宋体"/>
                <w:szCs w:val="21"/>
              </w:rPr>
              <w:t>b) 确定和应对能够影响产品、产品符合性以及增强顾客满意能力的风险和机遇；</w:t>
            </w:r>
          </w:p>
          <w:p>
            <w:pPr>
              <w:spacing w:line="280" w:lineRule="exact"/>
              <w:ind w:firstLine="420" w:firstLineChars="200"/>
              <w:rPr>
                <w:rFonts w:ascii="宋体" w:hAnsi="宋体" w:cs="宋体"/>
                <w:szCs w:val="21"/>
              </w:rPr>
            </w:pPr>
            <w:r>
              <w:rPr>
                <w:rFonts w:hint="eastAsia" w:ascii="宋体" w:hAnsi="宋体" w:cs="宋体"/>
                <w:szCs w:val="21"/>
              </w:rPr>
              <w:t>c) 始终致力于增强顾客满意。</w:t>
            </w:r>
          </w:p>
          <w:p>
            <w:pPr>
              <w:spacing w:line="280" w:lineRule="exact"/>
              <w:ind w:firstLine="420" w:firstLineChars="200"/>
              <w:rPr>
                <w:b/>
                <w:szCs w:val="21"/>
              </w:rPr>
            </w:pPr>
            <w:r>
              <w:rPr>
                <w:rFonts w:hint="eastAsia" w:ascii="宋体" w:hAnsi="宋体" w:cs="宋体"/>
                <w:szCs w:val="21"/>
              </w:rPr>
              <w:t>详见审核Q9.1.2条款记录。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rPr>
                <w:b/>
                <w:szCs w:val="21"/>
              </w:rPr>
            </w:pPr>
            <w:r>
              <w:rPr>
                <w:rFonts w:hint="eastAsia" w:ascii="宋体" w:hAnsi="宋体" w:cs="宋体"/>
                <w:szCs w:val="21"/>
              </w:rPr>
              <w:t>沟通方针</w:t>
            </w:r>
          </w:p>
        </w:tc>
        <w:tc>
          <w:tcPr>
            <w:tcW w:w="998" w:type="dxa"/>
          </w:tcPr>
          <w:p>
            <w:pPr>
              <w:spacing w:line="280" w:lineRule="exact"/>
              <w:rPr>
                <w:rFonts w:ascii="宋体" w:hAnsi="宋体" w:cs="宋体"/>
                <w:szCs w:val="21"/>
              </w:rPr>
            </w:pPr>
            <w:r>
              <w:rPr>
                <w:rFonts w:hint="eastAsia" w:ascii="宋体" w:hAnsi="宋体" w:cs="宋体"/>
                <w:szCs w:val="21"/>
              </w:rPr>
              <w:t>QE</w:t>
            </w:r>
            <w:r>
              <w:rPr>
                <w:szCs w:val="21"/>
              </w:rPr>
              <w:t>O</w:t>
            </w:r>
            <w:r>
              <w:rPr>
                <w:rFonts w:hint="eastAsia" w:ascii="宋体" w:hAnsi="宋体" w:cs="宋体"/>
                <w:szCs w:val="21"/>
              </w:rPr>
              <w:t>5.2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该公司管理方针</w:t>
            </w:r>
            <w:r>
              <w:rPr>
                <w:rFonts w:hint="eastAsia" w:ascii="宋体" w:hAnsi="宋体" w:cs="宋体"/>
                <w:szCs w:val="21"/>
                <w:lang w:val="en-US" w:eastAsia="zh-CN"/>
              </w:rPr>
              <w:t>未变化</w:t>
            </w:r>
            <w:r>
              <w:rPr>
                <w:rFonts w:hint="eastAsia" w:ascii="宋体" w:hAnsi="宋体" w:cs="宋体"/>
                <w:szCs w:val="21"/>
              </w:rPr>
              <w:t>。方针能</w:t>
            </w:r>
            <w:r>
              <w:rPr>
                <w:rFonts w:hint="eastAsia" w:ascii="宋体" w:hAnsi="宋体" w:cs="宋体"/>
                <w:szCs w:val="21"/>
                <w:lang w:val="en-US" w:eastAsia="zh-CN"/>
              </w:rPr>
              <w:t>持续</w:t>
            </w:r>
            <w:r>
              <w:rPr>
                <w:rFonts w:hint="eastAsia" w:ascii="宋体" w:hAnsi="宋体" w:cs="宋体"/>
                <w:szCs w:val="21"/>
              </w:rPr>
              <w:t>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总经理用会议、文件等手段保证管理方针为全体员工理解并落实到工作中。许振红总经理说管理评审时对方针的持续适宜性进行了评审，有评审记录。</w:t>
            </w:r>
          </w:p>
          <w:p>
            <w:pPr>
              <w:spacing w:line="280" w:lineRule="exact"/>
              <w:ind w:firstLine="420" w:firstLineChars="200"/>
              <w:rPr>
                <w:b/>
                <w:szCs w:val="21"/>
              </w:rPr>
            </w:pPr>
            <w:r>
              <w:rPr>
                <w:rFonts w:hint="eastAsia" w:ascii="宋体" w:hAnsi="宋体" w:cs="宋体"/>
                <w:szCs w:val="21"/>
              </w:rPr>
              <w:t>以上管理方针通过文件、培训等形式将公司管理方针传达给所有为公司工作或代表公司的人员，相关方也可通过管理部获取公司管理方针。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2122" w:type="dxa"/>
          </w:tcPr>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协商与参与</w:t>
            </w:r>
          </w:p>
        </w:tc>
        <w:tc>
          <w:tcPr>
            <w:tcW w:w="998" w:type="dxa"/>
          </w:tcPr>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O</w:t>
            </w:r>
            <w:r>
              <w:rPr>
                <w:rFonts w:ascii="宋体" w:hAnsi="宋体" w:cs="宋体"/>
                <w:szCs w:val="21"/>
              </w:rPr>
              <w:t>5.4</w:t>
            </w:r>
            <w:r>
              <w:rPr>
                <w:rFonts w:hint="eastAsia" w:ascii="宋体" w:hAnsi="宋体" w:cs="宋体"/>
                <w:szCs w:val="21"/>
              </w:rPr>
              <w:t xml:space="preserve"> </w:t>
            </w:r>
          </w:p>
        </w:tc>
        <w:tc>
          <w:tcPr>
            <w:tcW w:w="10004" w:type="dxa"/>
            <w:vAlign w:val="center"/>
          </w:tcPr>
          <w:p>
            <w:pPr>
              <w:spacing w:line="280" w:lineRule="exact"/>
              <w:rPr>
                <w:rFonts w:ascii="宋体" w:hAnsi="宋体" w:cs="宋体"/>
                <w:szCs w:val="21"/>
              </w:rPr>
            </w:pPr>
            <w:r>
              <w:rPr>
                <w:rFonts w:hint="eastAsia" w:ascii="宋体" w:hAnsi="宋体" w:cs="宋体"/>
                <w:szCs w:val="21"/>
              </w:rPr>
              <w:t>职业健康安全管理事务代表任命为浦其炳，公司对履行事务代表以及非管理类工作人员的协商与参与职责进行了规定。目前主要通过签订集体合同、开展内部座谈沟通等方式与公司进行协商和沟通。</w:t>
            </w:r>
          </w:p>
          <w:p>
            <w:pPr>
              <w:spacing w:line="280" w:lineRule="exact"/>
              <w:ind w:firstLine="420" w:firstLineChars="200"/>
              <w:rPr>
                <w:rFonts w:ascii="宋体" w:hAnsi="宋体" w:cs="宋体"/>
                <w:szCs w:val="21"/>
              </w:rPr>
            </w:pPr>
            <w:r>
              <w:rPr>
                <w:rFonts w:hint="eastAsia" w:ascii="宋体" w:hAnsi="宋体" w:cs="宋体"/>
                <w:szCs w:val="21"/>
              </w:rPr>
              <w:t>询问管代和职业健康安全事务代表浦其炳职责回答正确。</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122"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998" w:type="dxa"/>
          </w:tcPr>
          <w:p>
            <w:pPr>
              <w:spacing w:line="280" w:lineRule="exact"/>
              <w:rPr>
                <w:rFonts w:ascii="宋体" w:hAnsi="宋体" w:cs="宋体"/>
                <w:szCs w:val="21"/>
              </w:rPr>
            </w:pPr>
            <w:r>
              <w:rPr>
                <w:rFonts w:hint="eastAsia" w:ascii="宋体" w:hAnsi="宋体" w:cs="宋体"/>
                <w:szCs w:val="21"/>
              </w:rPr>
              <w:t>Q6.1</w:t>
            </w:r>
          </w:p>
          <w:p>
            <w:pPr>
              <w:spacing w:line="280" w:lineRule="exact"/>
              <w:rPr>
                <w:rFonts w:ascii="宋体"/>
                <w:szCs w:val="21"/>
              </w:rPr>
            </w:pPr>
            <w:r>
              <w:rPr>
                <w:rFonts w:ascii="宋体" w:cs="宋体"/>
                <w:szCs w:val="21"/>
              </w:rPr>
              <w:t>E6.1.1</w:t>
            </w:r>
          </w:p>
          <w:p>
            <w:pPr>
              <w:spacing w:line="280" w:lineRule="exact"/>
              <w:rPr>
                <w:rFonts w:ascii="宋体" w:hAnsi="宋体" w:cs="宋体"/>
                <w:szCs w:val="21"/>
              </w:rPr>
            </w:pPr>
            <w:r>
              <w:rPr>
                <w:szCs w:val="21"/>
              </w:rPr>
              <w:t>O</w:t>
            </w:r>
            <w:r>
              <w:rPr>
                <w:rFonts w:ascii="宋体" w:hAnsi="宋体" w:cs="宋体"/>
                <w:szCs w:val="21"/>
              </w:rPr>
              <w:t>6.1.1</w:t>
            </w:r>
          </w:p>
          <w:p>
            <w:pPr>
              <w:spacing w:line="280" w:lineRule="exact"/>
              <w:rPr>
                <w:rFonts w:ascii="宋体" w:hAnsi="宋体" w:cs="宋体"/>
                <w:szCs w:val="21"/>
              </w:rPr>
            </w:pPr>
          </w:p>
        </w:tc>
        <w:tc>
          <w:tcPr>
            <w:tcW w:w="10004" w:type="dxa"/>
            <w:vAlign w:val="center"/>
          </w:tcPr>
          <w:p>
            <w:pPr>
              <w:spacing w:line="280" w:lineRule="exact"/>
              <w:ind w:firstLine="420" w:firstLineChars="200"/>
              <w:rPr>
                <w:rFonts w:hint="default" w:ascii="宋体" w:hAnsi="宋体" w:cs="宋体" w:eastAsiaTheme="minorEastAsia"/>
                <w:szCs w:val="21"/>
                <w:lang w:val="en-US" w:eastAsia="zh-CN"/>
              </w:rPr>
            </w:pPr>
            <w:r>
              <w:rPr>
                <w:rFonts w:hint="eastAsia" w:ascii="宋体" w:hAnsi="宋体" w:cs="宋体"/>
                <w:szCs w:val="21"/>
              </w:rPr>
              <w:t>制定</w:t>
            </w:r>
            <w:r>
              <w:rPr>
                <w:rFonts w:hint="eastAsia" w:ascii="宋体" w:hAnsi="宋体" w:cs="宋体"/>
                <w:szCs w:val="21"/>
                <w:lang w:val="en-US" w:eastAsia="zh-CN"/>
              </w:rPr>
              <w:t>的</w:t>
            </w:r>
            <w:r>
              <w:rPr>
                <w:rFonts w:hint="eastAsia" w:ascii="宋体" w:hAnsi="宋体" w:cs="宋体"/>
                <w:szCs w:val="21"/>
              </w:rPr>
              <w:t>《风险和机遇的应对控制程序》</w:t>
            </w:r>
            <w:r>
              <w:rPr>
                <w:rFonts w:hint="eastAsia" w:ascii="宋体" w:hAnsi="宋体" w:cs="宋体"/>
                <w:szCs w:val="21"/>
                <w:lang w:val="en-US" w:eastAsia="zh-CN"/>
              </w:rPr>
              <w:t>未变化</w:t>
            </w:r>
            <w:r>
              <w:rPr>
                <w:rFonts w:hint="eastAsia" w:ascii="宋体" w:hAnsi="宋体" w:cs="宋体"/>
                <w:szCs w:val="21"/>
              </w:rPr>
              <w:t>，</w:t>
            </w:r>
            <w:r>
              <w:rPr>
                <w:rFonts w:hint="eastAsia" w:ascii="宋体" w:hAnsi="宋体" w:cs="宋体"/>
                <w:szCs w:val="21"/>
                <w:lang w:val="en-US" w:eastAsia="zh-CN"/>
              </w:rPr>
              <w:t>制定2021年度</w:t>
            </w:r>
            <w:r>
              <w:rPr>
                <w:rFonts w:hint="eastAsia" w:asciiTheme="minorEastAsia" w:hAnsiTheme="minorEastAsia" w:eastAsiaTheme="minorEastAsia"/>
                <w:szCs w:val="24"/>
              </w:rPr>
              <w:t>《风险和机遇评估表》</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lang w:val="en-US" w:eastAsia="zh-CN"/>
              </w:rPr>
              <w:t>列出的最近相关的内外部因素。</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ascii="宋体" w:hAnsi="宋体" w:cs="宋体"/>
                <w:szCs w:val="21"/>
              </w:rPr>
            </w:pPr>
            <w:r>
              <w:rPr>
                <w:rFonts w:hint="eastAsia" w:ascii="宋体" w:hAnsi="宋体" w:cs="宋体"/>
                <w:szCs w:val="21"/>
              </w:rPr>
              <w:t>环境因素识别、危险源识别</w:t>
            </w:r>
          </w:p>
        </w:tc>
        <w:tc>
          <w:tcPr>
            <w:tcW w:w="998"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6.1</w:t>
            </w:r>
            <w:r>
              <w:rPr>
                <w:rFonts w:hint="eastAsia" w:ascii="宋体" w:hAnsi="宋体" w:cs="宋体"/>
                <w:szCs w:val="21"/>
              </w:rPr>
              <w:t>.</w:t>
            </w:r>
            <w:r>
              <w:rPr>
                <w:rFonts w:ascii="宋体" w:hAnsi="宋体" w:cs="宋体"/>
                <w:szCs w:val="21"/>
              </w:rPr>
              <w:t>2</w:t>
            </w:r>
          </w:p>
          <w:p>
            <w:pPr>
              <w:spacing w:line="280" w:lineRule="exact"/>
              <w:rPr>
                <w:rFonts w:ascii="宋体" w:hAnsi="宋体" w:cs="宋体"/>
                <w:szCs w:val="21"/>
              </w:rPr>
            </w:pPr>
            <w:r>
              <w:rPr>
                <w:szCs w:val="21"/>
              </w:rPr>
              <w:t>O</w:t>
            </w:r>
            <w:r>
              <w:rPr>
                <w:rFonts w:ascii="宋体" w:hAnsi="宋体" w:cs="宋体"/>
                <w:szCs w:val="21"/>
              </w:rPr>
              <w:t>6.1.2</w:t>
            </w:r>
          </w:p>
        </w:tc>
        <w:tc>
          <w:tcPr>
            <w:tcW w:w="10004" w:type="dxa"/>
            <w:vAlign w:val="center"/>
          </w:tcPr>
          <w:p>
            <w:pPr>
              <w:spacing w:line="240" w:lineRule="auto"/>
              <w:ind w:firstLine="420" w:firstLineChars="200"/>
              <w:rPr>
                <w:rFonts w:asciiTheme="minorEastAsia" w:hAnsiTheme="minorEastAsia" w:eastAsiaTheme="minorEastAsia"/>
                <w:szCs w:val="24"/>
              </w:rPr>
            </w:pPr>
            <w:r>
              <w:rPr>
                <w:rFonts w:hint="eastAsia" w:ascii="宋体" w:hAnsi="宋体" w:cs="宋体"/>
                <w:szCs w:val="21"/>
              </w:rPr>
              <w:t>公司编制</w:t>
            </w:r>
            <w:r>
              <w:rPr>
                <w:rFonts w:hint="eastAsia" w:ascii="宋体" w:hAnsi="宋体" w:cs="宋体"/>
                <w:szCs w:val="21"/>
                <w:lang w:val="en-US" w:eastAsia="zh-CN"/>
              </w:rPr>
              <w:t>的</w:t>
            </w:r>
            <w:r>
              <w:rPr>
                <w:rFonts w:hint="eastAsia" w:ascii="宋体" w:hAnsi="宋体" w:cs="宋体"/>
                <w:szCs w:val="21"/>
              </w:rPr>
              <w:t>《环境因素识别和评价控制程序》和《危险源识别和评价控制程序》</w:t>
            </w:r>
            <w:r>
              <w:rPr>
                <w:rFonts w:hint="eastAsia" w:ascii="宋体" w:hAnsi="宋体" w:cs="宋体"/>
                <w:szCs w:val="21"/>
                <w:lang w:eastAsia="zh-CN"/>
              </w:rPr>
              <w:t>，</w:t>
            </w:r>
            <w:r>
              <w:rPr>
                <w:rFonts w:hint="eastAsia" w:ascii="宋体" w:hAnsi="宋体" w:cs="宋体"/>
                <w:szCs w:val="21"/>
                <w:lang w:val="en-US" w:eastAsia="zh-CN"/>
              </w:rPr>
              <w:t>未变化</w:t>
            </w:r>
            <w:r>
              <w:rPr>
                <w:rFonts w:hint="eastAsia" w:ascii="宋体" w:hAnsi="宋体" w:cs="宋体"/>
                <w:szCs w:val="21"/>
              </w:rPr>
              <w:t>。</w:t>
            </w:r>
            <w:r>
              <w:rPr>
                <w:rFonts w:hint="eastAsia" w:asciiTheme="minorEastAsia" w:hAnsiTheme="minorEastAsia" w:eastAsiaTheme="minorEastAsia"/>
                <w:szCs w:val="24"/>
              </w:rPr>
              <w:t>公司根据环境因素和危险源的风险辨识结果，分别制定出《重要环境因素清单》，主要列出环境因素46项，</w:t>
            </w:r>
            <w:r>
              <w:rPr>
                <w:rFonts w:hint="eastAsia" w:asciiTheme="minorEastAsia" w:hAnsiTheme="minorEastAsia" w:eastAsiaTheme="minorEastAsia"/>
                <w:szCs w:val="24"/>
                <w:lang w:val="en-US" w:eastAsia="zh-CN"/>
              </w:rPr>
              <w:t>重要环境因素4项，</w:t>
            </w:r>
            <w:r>
              <w:rPr>
                <w:rFonts w:hint="eastAsia" w:asciiTheme="minorEastAsia" w:hAnsiTheme="minorEastAsia" w:eastAsiaTheme="minorEastAsia"/>
                <w:szCs w:val="24"/>
              </w:rPr>
              <w:t>《不可接受风险清单》（LEC值法）危险源列出</w:t>
            </w:r>
            <w:r>
              <w:rPr>
                <w:rFonts w:hint="eastAsia" w:asciiTheme="minorEastAsia" w:hAnsiTheme="minorEastAsia" w:eastAsiaTheme="minorEastAsia"/>
                <w:szCs w:val="24"/>
                <w:lang w:val="en-US" w:eastAsia="zh-CN"/>
              </w:rPr>
              <w:t>40多</w:t>
            </w:r>
            <w:r>
              <w:rPr>
                <w:rFonts w:hint="eastAsia" w:asciiTheme="minorEastAsia" w:hAnsiTheme="minorEastAsia" w:eastAsiaTheme="minorEastAsia"/>
                <w:szCs w:val="24"/>
              </w:rPr>
              <w:t>项</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lang w:val="en-US" w:eastAsia="zh-CN"/>
              </w:rPr>
              <w:t>重要危险源5项</w:t>
            </w:r>
            <w:r>
              <w:rPr>
                <w:rFonts w:hint="eastAsia" w:asciiTheme="minorEastAsia" w:hAnsiTheme="minorEastAsia" w:eastAsiaTheme="minorEastAsia"/>
                <w:szCs w:val="24"/>
              </w:rPr>
              <w:t>。</w:t>
            </w:r>
          </w:p>
          <w:p>
            <w:pPr>
              <w:spacing w:line="24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制定了《法律法规和其他要求控制程序》、《合规性评价程序》，每年对公司适用的合规义务进行识别更新并定期评价、检查。</w:t>
            </w:r>
          </w:p>
          <w:p>
            <w:pPr>
              <w:spacing w:line="240" w:lineRule="auto"/>
              <w:ind w:firstLine="420" w:firstLineChars="200"/>
              <w:rPr>
                <w:rFonts w:ascii="宋体" w:hAnsi="宋体" w:cs="宋体"/>
                <w:szCs w:val="21"/>
              </w:rPr>
            </w:pPr>
            <w:r>
              <w:rPr>
                <w:rFonts w:hint="eastAsia" w:ascii="宋体" w:hAnsi="宋体" w:cs="宋体"/>
                <w:szCs w:val="21"/>
              </w:rPr>
              <w:t>各部门具体环境因素和危险源的识别和控制见各部门的审核记录。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环境和职业健康安全的合规义务</w:t>
            </w:r>
          </w:p>
          <w:p>
            <w:pPr>
              <w:spacing w:line="280" w:lineRule="exact"/>
              <w:rPr>
                <w:rFonts w:ascii="宋体" w:hAnsi="宋体" w:cs="宋体"/>
                <w:szCs w:val="21"/>
              </w:rPr>
            </w:pPr>
            <w:r>
              <w:rPr>
                <w:rFonts w:hint="eastAsia" w:ascii="宋体" w:hAnsi="宋体" w:cs="宋体"/>
                <w:szCs w:val="21"/>
              </w:rPr>
              <w:t>合规性评价</w:t>
            </w:r>
          </w:p>
        </w:tc>
        <w:tc>
          <w:tcPr>
            <w:tcW w:w="998" w:type="dxa"/>
          </w:tcPr>
          <w:p>
            <w:pPr>
              <w:spacing w:line="280" w:lineRule="exact"/>
              <w:rPr>
                <w:rFonts w:ascii="宋体" w:hAnsi="宋体" w:cs="宋体"/>
                <w:szCs w:val="21"/>
              </w:rPr>
            </w:pPr>
            <w:r>
              <w:rPr>
                <w:rFonts w:ascii="宋体" w:hAnsi="宋体" w:cs="宋体"/>
                <w:szCs w:val="21"/>
              </w:rPr>
              <w:t>EO6.1.3</w:t>
            </w:r>
          </w:p>
          <w:p>
            <w:pPr>
              <w:spacing w:line="280" w:lineRule="exact"/>
              <w:rPr>
                <w:rFonts w:ascii="宋体" w:hAnsi="宋体" w:cs="宋体"/>
                <w:szCs w:val="21"/>
              </w:rPr>
            </w:pPr>
            <w:r>
              <w:rPr>
                <w:szCs w:val="21"/>
              </w:rPr>
              <w:t>E0</w:t>
            </w:r>
            <w:r>
              <w:rPr>
                <w:rFonts w:ascii="宋体" w:hAnsi="宋体" w:cs="宋体"/>
                <w:szCs w:val="21"/>
              </w:rPr>
              <w:t>9.1.2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公司编制</w:t>
            </w:r>
            <w:r>
              <w:rPr>
                <w:rFonts w:hint="eastAsia" w:ascii="宋体" w:hAnsi="宋体" w:cs="宋体"/>
                <w:szCs w:val="21"/>
                <w:lang w:val="en-US" w:eastAsia="zh-CN"/>
              </w:rPr>
              <w:t>的</w:t>
            </w:r>
            <w:r>
              <w:rPr>
                <w:rFonts w:hint="eastAsia" w:ascii="宋体" w:hAnsi="宋体" w:cs="宋体"/>
                <w:szCs w:val="21"/>
              </w:rPr>
              <w:t>《法律法规其他要求和合规性评价控制程序》</w:t>
            </w:r>
            <w:r>
              <w:rPr>
                <w:rFonts w:hint="eastAsia" w:ascii="宋体" w:hAnsi="宋体" w:cs="宋体"/>
                <w:szCs w:val="21"/>
                <w:lang w:eastAsia="zh-CN"/>
              </w:rPr>
              <w:t>，</w:t>
            </w:r>
            <w:r>
              <w:rPr>
                <w:rFonts w:hint="eastAsia" w:ascii="宋体" w:hAnsi="宋体" w:cs="宋体"/>
                <w:szCs w:val="21"/>
                <w:lang w:val="en-US" w:eastAsia="zh-CN"/>
              </w:rPr>
              <w:t>未变化，2021年度</w:t>
            </w:r>
            <w:r>
              <w:rPr>
                <w:rFonts w:hint="eastAsia" w:ascii="宋体" w:hAnsi="宋体" w:cs="宋体"/>
                <w:szCs w:val="21"/>
              </w:rPr>
              <w:t>合规义务和合规性评价进行了管理。公司建立、实施并保持程序来识别与公司的活动、产品和服务有关的法律、法规和其它要求，并建立获取这些要求的渠道。确定适用的法律、法规和其它要求如何运用到公司的活动、产品和服务以及相关的环境因素和风险因素。查所提供的环境和职业健康安全所涉及的《适用法律法规及其他要求一览表》，基本涵盖所涉及的各相关方。明确了对应的公司活动，对适用性、合规性等进行了评价</w:t>
            </w:r>
            <w:r>
              <w:rPr>
                <w:rFonts w:hint="eastAsia" w:ascii="宋体" w:hAnsi="宋体" w:cs="宋体"/>
                <w:szCs w:val="21"/>
                <w:lang w:eastAsia="zh-CN"/>
              </w:rPr>
              <w:t>，</w:t>
            </w:r>
            <w:r>
              <w:rPr>
                <w:rFonts w:hint="eastAsia" w:ascii="宋体" w:hAnsi="宋体" w:cs="宋体"/>
                <w:szCs w:val="21"/>
              </w:rPr>
              <w:t>明确了适用的公司活动为职业病事前预防、宣传教育、防范要求等过程，评价结果为符合要求。</w:t>
            </w:r>
          </w:p>
        </w:tc>
        <w:tc>
          <w:tcPr>
            <w:tcW w:w="1585" w:type="dxa"/>
          </w:tcPr>
          <w:p>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2122"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E</w:t>
            </w:r>
            <w:r>
              <w:rPr>
                <w:szCs w:val="21"/>
              </w:rPr>
              <w:t>O</w:t>
            </w:r>
            <w:r>
              <w:rPr>
                <w:rFonts w:hint="eastAsia"/>
                <w:szCs w:val="21"/>
              </w:rPr>
              <w:t>6.1.4</w:t>
            </w:r>
          </w:p>
          <w:p>
            <w:pPr>
              <w:spacing w:line="280" w:lineRule="exact"/>
              <w:rPr>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kern w:val="0"/>
                <w:szCs w:val="21"/>
              </w:rPr>
              <w:t>制定</w:t>
            </w:r>
            <w:r>
              <w:rPr>
                <w:rFonts w:hint="eastAsia" w:ascii="宋体" w:hAnsi="宋体" w:cs="宋体"/>
                <w:kern w:val="0"/>
                <w:szCs w:val="21"/>
                <w:lang w:val="en-US" w:eastAsia="zh-CN"/>
              </w:rPr>
              <w:t>的</w:t>
            </w:r>
            <w:r>
              <w:rPr>
                <w:rFonts w:hint="eastAsia" w:ascii="宋体" w:hAnsi="宋体" w:cs="宋体"/>
                <w:kern w:val="0"/>
                <w:szCs w:val="21"/>
              </w:rPr>
              <w:t>环境和职业健康安全目标指标</w:t>
            </w:r>
            <w:r>
              <w:rPr>
                <w:rFonts w:hint="eastAsia" w:ascii="宋体" w:hAnsi="宋体" w:cs="宋体"/>
                <w:kern w:val="0"/>
                <w:szCs w:val="21"/>
                <w:lang w:eastAsia="zh-CN"/>
              </w:rPr>
              <w:t>、</w:t>
            </w:r>
            <w:r>
              <w:rPr>
                <w:rFonts w:hint="eastAsia" w:ascii="宋体" w:hAnsi="宋体" w:cs="宋体"/>
                <w:szCs w:val="21"/>
              </w:rPr>
              <w:t>质量环境、职业健康安全目标及管理方案，</w:t>
            </w:r>
            <w:r>
              <w:rPr>
                <w:rFonts w:hint="eastAsia" w:ascii="宋体" w:hAnsi="宋体" w:cs="宋体"/>
                <w:szCs w:val="21"/>
                <w:lang w:val="en-US" w:eastAsia="zh-CN"/>
              </w:rPr>
              <w:t>与上一年度一致</w:t>
            </w:r>
            <w:r>
              <w:rPr>
                <w:rFonts w:hint="eastAsia" w:ascii="宋体" w:hAnsi="宋体" w:cs="宋体"/>
                <w:szCs w:val="21"/>
              </w:rPr>
              <w:t>。环境、职业健康安全管理方案中明确为实现环境、职业健康安全目标和指标的责任部门；规定</w:t>
            </w:r>
            <w:r>
              <w:rPr>
                <w:rFonts w:hint="eastAsia" w:ascii="宋体" w:hAnsi="宋体" w:cs="宋体"/>
                <w:szCs w:val="21"/>
                <w:lang w:val="en-US" w:eastAsia="zh-CN"/>
              </w:rPr>
              <w:t>了</w:t>
            </w:r>
            <w:r>
              <w:rPr>
                <w:rFonts w:hint="eastAsia" w:ascii="宋体" w:hAnsi="宋体" w:cs="宋体"/>
                <w:szCs w:val="21"/>
              </w:rPr>
              <w:t>实现环境、职业健康安全目标和指标的时间；具体措施和经费预算；都由总经理批准。环境、职业健康安全管理方案的实施，管理部每半年对方案实施情况进行检查跟踪，向总经理报告；一般在管理评审之前对环境、职业健康安全目标及管理方案由管理部对其进行评审，并将完成情况以书面形式呈报管理者代表，以便提交管理评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22"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QE</w:t>
            </w:r>
            <w:r>
              <w:rPr>
                <w:szCs w:val="21"/>
              </w:rPr>
              <w:t>O</w:t>
            </w:r>
            <w:r>
              <w:rPr>
                <w:rFonts w:hint="eastAsia"/>
                <w:szCs w:val="21"/>
              </w:rPr>
              <w:t>6.2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spacing w:line="280" w:lineRule="exact"/>
              <w:rPr>
                <w:rFonts w:ascii="宋体" w:hAnsi="宋体" w:cs="宋体"/>
                <w:szCs w:val="21"/>
              </w:rPr>
            </w:pPr>
            <w:r>
              <w:rPr>
                <w:rFonts w:hint="eastAsia" w:ascii="宋体" w:hAnsi="宋体" w:cs="宋体"/>
                <w:szCs w:val="21"/>
              </w:rPr>
              <w:t>公司质量、环境和职业健康安全管理目标及实现情况是：</w:t>
            </w:r>
          </w:p>
          <w:p>
            <w:pPr>
              <w:spacing w:line="280" w:lineRule="exact"/>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 xml:space="preserve">目标值 </w:t>
            </w:r>
            <w:r>
              <w:rPr>
                <w:rFonts w:ascii="宋体" w:hAnsi="宋体" w:cs="宋体"/>
                <w:szCs w:val="21"/>
              </w:rPr>
              <w:t xml:space="preserve">                                      </w:t>
            </w:r>
            <w:r>
              <w:rPr>
                <w:rFonts w:hint="eastAsia" w:ascii="宋体" w:hAnsi="宋体" w:cs="宋体"/>
                <w:szCs w:val="21"/>
              </w:rPr>
              <w:t>目标完成情况</w:t>
            </w:r>
          </w:p>
          <w:p>
            <w:pPr>
              <w:spacing w:line="280" w:lineRule="exact"/>
              <w:ind w:firstLine="420"/>
              <w:rPr>
                <w:rFonts w:hint="eastAsia" w:ascii="宋体" w:hAnsi="宋体" w:cs="宋体"/>
                <w:szCs w:val="21"/>
              </w:rPr>
            </w:pPr>
            <w:r>
              <w:rPr>
                <w:rFonts w:hint="eastAsia" w:ascii="宋体" w:hAnsi="宋体" w:cs="宋体"/>
                <w:szCs w:val="21"/>
              </w:rPr>
              <w:t>产品交验合格率≥95%                              100%</w:t>
            </w:r>
          </w:p>
          <w:p>
            <w:pPr>
              <w:spacing w:line="280" w:lineRule="exact"/>
              <w:ind w:firstLine="420"/>
              <w:rPr>
                <w:rFonts w:hint="eastAsia" w:ascii="宋体" w:hAnsi="宋体" w:cs="宋体"/>
                <w:szCs w:val="21"/>
              </w:rPr>
            </w:pPr>
            <w:r>
              <w:rPr>
                <w:rFonts w:hint="eastAsia" w:ascii="宋体" w:hAnsi="宋体" w:cs="宋体"/>
                <w:szCs w:val="21"/>
              </w:rPr>
              <w:t>进货产品批次合格率≥90%                          100%</w:t>
            </w:r>
          </w:p>
          <w:p>
            <w:pPr>
              <w:spacing w:line="280" w:lineRule="exact"/>
              <w:ind w:firstLine="420"/>
              <w:rPr>
                <w:rFonts w:ascii="宋体" w:hAnsi="宋体" w:cs="宋体"/>
                <w:szCs w:val="21"/>
              </w:rPr>
            </w:pPr>
            <w:r>
              <w:rPr>
                <w:rFonts w:hint="eastAsia" w:ascii="宋体" w:hAnsi="宋体" w:cs="宋体"/>
                <w:szCs w:val="21"/>
              </w:rPr>
              <w:t xml:space="preserve">顾客满意率≥85分 </w:t>
            </w:r>
            <w:r>
              <w:rPr>
                <w:rFonts w:ascii="宋体" w:hAnsi="宋体" w:cs="宋体"/>
                <w:szCs w:val="21"/>
              </w:rPr>
              <w:t xml:space="preserve">                                96.5</w:t>
            </w:r>
          </w:p>
          <w:p>
            <w:pPr>
              <w:spacing w:line="280" w:lineRule="exact"/>
              <w:ind w:firstLine="420" w:firstLineChars="200"/>
              <w:rPr>
                <w:rFonts w:ascii="宋体" w:hAnsi="宋体" w:cs="宋体"/>
                <w:szCs w:val="21"/>
              </w:rPr>
            </w:pPr>
            <w:r>
              <w:rPr>
                <w:rFonts w:hint="eastAsia" w:ascii="宋体" w:hAnsi="宋体" w:cs="宋体"/>
                <w:szCs w:val="21"/>
              </w:rPr>
              <w:t xml:space="preserve">废弃物回收率达到100%，统一处理 </w:t>
            </w:r>
            <w:r>
              <w:rPr>
                <w:rFonts w:ascii="宋体" w:hAnsi="宋体" w:cs="宋体"/>
                <w:szCs w:val="21"/>
              </w:rPr>
              <w:t xml:space="preserve">                  100</w:t>
            </w:r>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rPr>
              <w:t xml:space="preserve">每年定期对消防器材进行验收，更换过期的消防器材。 </w:t>
            </w:r>
            <w:r>
              <w:rPr>
                <w:rFonts w:ascii="宋体" w:hAnsi="宋体" w:cs="宋体"/>
                <w:szCs w:val="21"/>
              </w:rPr>
              <w:t xml:space="preserve"> </w:t>
            </w:r>
            <w:r>
              <w:rPr>
                <w:rFonts w:hint="eastAsia" w:ascii="宋体" w:hAnsi="宋体" w:cs="宋体"/>
                <w:szCs w:val="21"/>
              </w:rPr>
              <w:t>符合</w:t>
            </w:r>
          </w:p>
          <w:p>
            <w:pPr>
              <w:spacing w:line="280" w:lineRule="exact"/>
              <w:ind w:firstLine="420" w:firstLineChars="200"/>
              <w:rPr>
                <w:rFonts w:ascii="宋体" w:hAnsi="宋体" w:cs="宋体"/>
                <w:szCs w:val="21"/>
              </w:rPr>
            </w:pPr>
            <w:r>
              <w:rPr>
                <w:rFonts w:hint="eastAsia" w:ascii="宋体" w:hAnsi="宋体" w:cs="宋体"/>
                <w:szCs w:val="21"/>
              </w:rPr>
              <w:t xml:space="preserve">应急通道畅通，消防设施完好率100%。 </w:t>
            </w:r>
            <w:r>
              <w:rPr>
                <w:rFonts w:ascii="宋体" w:hAnsi="宋体" w:cs="宋体"/>
                <w:szCs w:val="21"/>
              </w:rPr>
              <w:t xml:space="preserve">              100</w:t>
            </w:r>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rPr>
              <w:t>火灾事故为0</w:t>
            </w:r>
            <w:r>
              <w:rPr>
                <w:rFonts w:ascii="宋体" w:hAnsi="宋体" w:cs="宋体"/>
                <w:szCs w:val="21"/>
              </w:rPr>
              <w:t xml:space="preserve">                                      0</w:t>
            </w:r>
          </w:p>
          <w:p>
            <w:pPr>
              <w:spacing w:line="280" w:lineRule="exact"/>
              <w:ind w:firstLine="420" w:firstLineChars="200"/>
              <w:rPr>
                <w:rFonts w:ascii="宋体" w:hAnsi="宋体" w:cs="宋体"/>
                <w:szCs w:val="21"/>
              </w:rPr>
            </w:pPr>
            <w:r>
              <w:rPr>
                <w:rFonts w:hint="eastAsia" w:ascii="宋体" w:hAnsi="宋体" w:cs="宋体"/>
                <w:szCs w:val="21"/>
              </w:rPr>
              <w:t>目标可测量，与公司管理方针一致。</w:t>
            </w:r>
          </w:p>
          <w:p>
            <w:pPr>
              <w:spacing w:line="280" w:lineRule="exact"/>
              <w:ind w:firstLine="420" w:firstLineChars="200"/>
              <w:rPr>
                <w:rFonts w:ascii="宋体" w:hAnsi="宋体" w:cs="宋体"/>
                <w:szCs w:val="21"/>
              </w:rPr>
            </w:pPr>
            <w:r>
              <w:rPr>
                <w:rFonts w:hint="eastAsia" w:ascii="宋体" w:hAnsi="宋体" w:cs="宋体"/>
                <w:szCs w:val="21"/>
              </w:rPr>
              <w:t>具体由管理部按公司管理目标考核要求统计考核公司管理目标完成情况，提交管理评审会议。查到今年公司管理目标完成情况，各项目标均已完成，编制人浦其炳，审批人许振红。</w:t>
            </w:r>
          </w:p>
          <w:p>
            <w:pPr>
              <w:spacing w:line="280" w:lineRule="exact"/>
              <w:ind w:firstLine="420" w:firstLineChars="200"/>
              <w:rPr>
                <w:rFonts w:ascii="宋体" w:hAnsi="宋体" w:cs="宋体"/>
                <w:szCs w:val="21"/>
              </w:rPr>
            </w:pPr>
            <w:r>
              <w:rPr>
                <w:rFonts w:hint="eastAsia" w:ascii="宋体" w:hAnsi="宋体" w:cs="宋体"/>
                <w:szCs w:val="21"/>
              </w:rPr>
              <w:t>针对重要环境因素、不可接受风险制订了管理方案并予以实施，基本有效，详见审核各部门审核记录。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22" w:type="dxa"/>
          </w:tcPr>
          <w:p>
            <w:pPr>
              <w:spacing w:line="280" w:lineRule="exact"/>
              <w:rPr>
                <w:rFonts w:ascii="宋体" w:hAnsi="宋体" w:cs="宋体"/>
                <w:szCs w:val="21"/>
              </w:rPr>
            </w:pPr>
            <w:r>
              <w:rPr>
                <w:rFonts w:hint="eastAsia" w:ascii="宋体" w:hAnsi="宋体" w:cs="宋体"/>
                <w:szCs w:val="21"/>
              </w:rPr>
              <w:t>变更的策划</w:t>
            </w:r>
          </w:p>
        </w:tc>
        <w:tc>
          <w:tcPr>
            <w:tcW w:w="998" w:type="dxa"/>
          </w:tcPr>
          <w:p>
            <w:pPr>
              <w:spacing w:line="280" w:lineRule="exact"/>
              <w:rPr>
                <w:szCs w:val="21"/>
              </w:rPr>
            </w:pPr>
            <w:r>
              <w:rPr>
                <w:rFonts w:hint="eastAsia"/>
                <w:szCs w:val="21"/>
              </w:rPr>
              <w:t>Q6.3</w:t>
            </w:r>
          </w:p>
        </w:tc>
        <w:tc>
          <w:tcPr>
            <w:tcW w:w="10004" w:type="dxa"/>
            <w:vAlign w:val="center"/>
          </w:tcPr>
          <w:p>
            <w:pPr>
              <w:spacing w:line="280" w:lineRule="exact"/>
              <w:rPr>
                <w:rFonts w:ascii="宋体" w:hAnsi="宋体" w:cs="宋体"/>
                <w:szCs w:val="21"/>
              </w:rPr>
            </w:pPr>
            <w:r>
              <w:rPr>
                <w:rFonts w:hint="eastAsia" w:ascii="宋体" w:hAnsi="宋体" w:cs="宋体"/>
                <w:szCs w:val="21"/>
              </w:rPr>
              <w:t xml:space="preserve">  公司目前管理体系暂无变更。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rFonts w:ascii="宋体" w:hAnsi="宋体" w:cs="宋体"/>
                <w:szCs w:val="21"/>
              </w:rPr>
            </w:pPr>
            <w:r>
              <w:rPr>
                <w:rFonts w:hint="eastAsia" w:ascii="宋体" w:hAnsi="宋体" w:cs="宋体"/>
                <w:szCs w:val="21"/>
              </w:rPr>
              <w:t>资源、总则</w:t>
            </w:r>
          </w:p>
        </w:tc>
        <w:tc>
          <w:tcPr>
            <w:tcW w:w="998" w:type="dxa"/>
          </w:tcPr>
          <w:p>
            <w:pPr>
              <w:spacing w:line="280" w:lineRule="exact"/>
              <w:rPr>
                <w:szCs w:val="21"/>
              </w:rPr>
            </w:pPr>
            <w:r>
              <w:rPr>
                <w:rFonts w:hint="eastAsia"/>
                <w:szCs w:val="21"/>
              </w:rPr>
              <w:t>Q7.1.1</w:t>
            </w:r>
          </w:p>
          <w:p>
            <w:pPr>
              <w:spacing w:line="280" w:lineRule="exact"/>
              <w:rPr>
                <w:szCs w:val="21"/>
              </w:rPr>
            </w:pPr>
            <w:r>
              <w:rPr>
                <w:rFonts w:hint="eastAsia"/>
                <w:szCs w:val="21"/>
              </w:rPr>
              <w:t>E</w:t>
            </w:r>
            <w:r>
              <w:rPr>
                <w:szCs w:val="21"/>
              </w:rPr>
              <w:t>O</w:t>
            </w:r>
            <w:r>
              <w:rPr>
                <w:rFonts w:hint="eastAsia"/>
                <w:szCs w:val="21"/>
              </w:rPr>
              <w:t>7.1</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查公司配备了必要的人力资源，基础设施(桁架机器人和关节机器人组装相关设备、办公场所、办公用品等)，规范文件、资金等必要的资源，能持续满足顾客需求和管理体系改进的需要。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沟通</w:t>
            </w:r>
          </w:p>
          <w:p>
            <w:pPr>
              <w:spacing w:line="280" w:lineRule="exact"/>
              <w:rPr>
                <w:rFonts w:ascii="宋体" w:hAnsi="宋体" w:cs="宋体"/>
                <w:szCs w:val="21"/>
              </w:rPr>
            </w:pPr>
          </w:p>
        </w:tc>
        <w:tc>
          <w:tcPr>
            <w:tcW w:w="998" w:type="dxa"/>
          </w:tcPr>
          <w:p>
            <w:pPr>
              <w:spacing w:line="280" w:lineRule="exact"/>
              <w:rPr>
                <w:szCs w:val="21"/>
              </w:rPr>
            </w:pPr>
            <w:r>
              <w:rPr>
                <w:rFonts w:hint="eastAsia" w:ascii="宋体" w:hAnsi="宋体" w:cs="宋体"/>
                <w:color w:val="000000"/>
                <w:kern w:val="0"/>
                <w:szCs w:val="21"/>
              </w:rPr>
              <w:t>QE</w:t>
            </w:r>
            <w:r>
              <w:rPr>
                <w:szCs w:val="21"/>
              </w:rPr>
              <w:t>O</w:t>
            </w:r>
            <w:r>
              <w:rPr>
                <w:rFonts w:hint="eastAsia" w:ascii="宋体" w:hAnsi="宋体" w:cs="宋体"/>
                <w:color w:val="000000"/>
                <w:kern w:val="0"/>
                <w:szCs w:val="21"/>
              </w:rPr>
              <w:t>7.4</w:t>
            </w:r>
          </w:p>
        </w:tc>
        <w:tc>
          <w:tcPr>
            <w:tcW w:w="10004" w:type="dxa"/>
            <w:vAlign w:val="center"/>
          </w:tcPr>
          <w:p>
            <w:pPr>
              <w:spacing w:line="280" w:lineRule="exact"/>
              <w:ind w:firstLine="420" w:firstLineChars="200"/>
              <w:rPr>
                <w:szCs w:val="21"/>
              </w:rPr>
            </w:pPr>
            <w:r>
              <w:rPr>
                <w:rFonts w:hint="eastAsia"/>
                <w:szCs w:val="21"/>
              </w:rPr>
              <w:t>公司编制并实施了《协商和沟通控制程序》，</w:t>
            </w:r>
            <w:r>
              <w:rPr>
                <w:rFonts w:hint="eastAsia"/>
                <w:szCs w:val="21"/>
                <w:lang w:val="en-US" w:eastAsia="zh-CN"/>
              </w:rPr>
              <w:t>内容无变化。</w:t>
            </w:r>
            <w:r>
              <w:rPr>
                <w:rFonts w:hint="eastAsia"/>
                <w:szCs w:val="21"/>
              </w:rPr>
              <w:t>现场查阅内部交流：方针、目标完成情况、内审和管理评审报告、不符合信息</w:t>
            </w:r>
            <w:r>
              <w:rPr>
                <w:rFonts w:hint="eastAsia"/>
                <w:szCs w:val="21"/>
                <w:lang w:eastAsia="zh-CN"/>
              </w:rPr>
              <w:t>、</w:t>
            </w:r>
            <w:r>
              <w:rPr>
                <w:rFonts w:hint="eastAsia"/>
                <w:szCs w:val="21"/>
                <w:lang w:val="en-US" w:eastAsia="zh-CN"/>
              </w:rPr>
              <w:t>上次审核不符合情况</w:t>
            </w:r>
            <w:r>
              <w:rPr>
                <w:rFonts w:hint="eastAsia"/>
                <w:szCs w:val="21"/>
              </w:rPr>
              <w:t>等。</w:t>
            </w:r>
          </w:p>
          <w:p>
            <w:pPr>
              <w:spacing w:line="280" w:lineRule="exact"/>
              <w:ind w:firstLine="420" w:firstLineChars="200"/>
              <w:rPr>
                <w:szCs w:val="21"/>
              </w:rPr>
            </w:pPr>
            <w:r>
              <w:rPr>
                <w:rFonts w:hint="eastAsia"/>
                <w:szCs w:val="21"/>
              </w:rPr>
              <w:t>外部交流：通过发放《关于对相关方要求的告知书》与相关方就相关环境、职业健康安全信息进行相互沟通。</w:t>
            </w:r>
          </w:p>
          <w:p>
            <w:pPr>
              <w:spacing w:line="280" w:lineRule="exact"/>
              <w:ind w:firstLine="420" w:firstLineChars="200"/>
              <w:rPr>
                <w:szCs w:val="21"/>
              </w:rPr>
            </w:pPr>
            <w:r>
              <w:rPr>
                <w:rFonts w:hint="eastAsia"/>
                <w:szCs w:val="21"/>
              </w:rPr>
              <w:t>和员工面谈，知道公司的管理者代表及职业健康安全事务代表。</w:t>
            </w:r>
          </w:p>
          <w:p>
            <w:pPr>
              <w:spacing w:line="280" w:lineRule="exact"/>
              <w:ind w:firstLine="420" w:firstLineChars="200"/>
              <w:rPr>
                <w:rFonts w:ascii="宋体" w:hAnsi="宋体" w:cs="宋体"/>
                <w:szCs w:val="21"/>
              </w:rPr>
            </w:pPr>
            <w:r>
              <w:rPr>
                <w:rFonts w:hint="eastAsia"/>
                <w:szCs w:val="21"/>
              </w:rPr>
              <w:t>审核周期内未发生因沟通不善造成的的问题。</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内部审核</w:t>
            </w:r>
          </w:p>
        </w:tc>
        <w:tc>
          <w:tcPr>
            <w:tcW w:w="998" w:type="dxa"/>
          </w:tcPr>
          <w:p>
            <w:pPr>
              <w:spacing w:line="280" w:lineRule="exact"/>
              <w:rPr>
                <w:rFonts w:ascii="宋体" w:hAnsi="宋体" w:cs="宋体"/>
                <w:color w:val="000000"/>
                <w:kern w:val="0"/>
                <w:szCs w:val="21"/>
              </w:rPr>
            </w:pPr>
            <w:r>
              <w:rPr>
                <w:rFonts w:hint="eastAsia"/>
                <w:szCs w:val="21"/>
              </w:rPr>
              <w:t>QE</w:t>
            </w:r>
            <w:r>
              <w:rPr>
                <w:szCs w:val="21"/>
              </w:rPr>
              <w:t>O</w:t>
            </w:r>
            <w:r>
              <w:rPr>
                <w:rFonts w:hint="eastAsia"/>
                <w:szCs w:val="21"/>
              </w:rPr>
              <w:t>9.</w:t>
            </w:r>
            <w:r>
              <w:rPr>
                <w:szCs w:val="21"/>
              </w:rPr>
              <w:t>2</w:t>
            </w:r>
          </w:p>
        </w:tc>
        <w:tc>
          <w:tcPr>
            <w:tcW w:w="10004" w:type="dxa"/>
            <w:vAlign w:val="center"/>
          </w:tcPr>
          <w:p>
            <w:pPr>
              <w:spacing w:line="280" w:lineRule="exact"/>
              <w:ind w:firstLine="420" w:firstLineChars="200"/>
              <w:rPr>
                <w:szCs w:val="21"/>
              </w:rPr>
            </w:pPr>
            <w:r>
              <w:rPr>
                <w:rFonts w:hint="eastAsia"/>
                <w:szCs w:val="21"/>
              </w:rPr>
              <w:t>编制了《内部审核程序》，</w:t>
            </w:r>
            <w:r>
              <w:rPr>
                <w:rFonts w:hint="eastAsia"/>
                <w:szCs w:val="21"/>
                <w:lang w:val="en-US" w:eastAsia="zh-CN"/>
              </w:rPr>
              <w:t>未变化</w:t>
            </w:r>
            <w:r>
              <w:rPr>
                <w:rFonts w:hint="eastAsia"/>
                <w:szCs w:val="21"/>
              </w:rPr>
              <w:t>。</w:t>
            </w:r>
          </w:p>
          <w:p>
            <w:pPr>
              <w:spacing w:line="280" w:lineRule="exact"/>
              <w:ind w:firstLine="420" w:firstLineChars="200"/>
              <w:rPr>
                <w:szCs w:val="21"/>
              </w:rPr>
            </w:pPr>
            <w:r>
              <w:rPr>
                <w:rFonts w:hint="eastAsia"/>
                <w:szCs w:val="21"/>
              </w:rPr>
              <w:t>依据</w:t>
            </w:r>
            <w:r>
              <w:rPr>
                <w:rFonts w:hint="eastAsia"/>
                <w:szCs w:val="21"/>
                <w:lang w:val="en-US" w:eastAsia="zh-CN"/>
              </w:rPr>
              <w:t>GB/T19001-2016</w:t>
            </w:r>
            <w:r>
              <w:rPr>
                <w:rFonts w:hint="eastAsia"/>
                <w:szCs w:val="21"/>
              </w:rPr>
              <w:t>、</w:t>
            </w:r>
            <w:r>
              <w:rPr>
                <w:rFonts w:hint="eastAsia"/>
                <w:szCs w:val="21"/>
                <w:lang w:val="en-US" w:eastAsia="zh-CN"/>
              </w:rPr>
              <w:t>GB/T24001-2016</w:t>
            </w:r>
            <w:r>
              <w:rPr>
                <w:rFonts w:hint="eastAsia"/>
                <w:szCs w:val="21"/>
              </w:rPr>
              <w:t>、</w:t>
            </w:r>
            <w:r>
              <w:rPr>
                <w:rFonts w:hint="eastAsia"/>
                <w:szCs w:val="21"/>
                <w:lang w:val="en-US" w:eastAsia="zh-CN"/>
              </w:rPr>
              <w:t>GB/T45001-2020</w:t>
            </w:r>
            <w:r>
              <w:rPr>
                <w:rFonts w:hint="eastAsia"/>
                <w:szCs w:val="21"/>
              </w:rPr>
              <w:t>标准、体系文件、相关法律法规等.</w:t>
            </w:r>
          </w:p>
          <w:p>
            <w:pPr>
              <w:spacing w:line="280" w:lineRule="exact"/>
              <w:ind w:firstLine="420" w:firstLineChars="200"/>
              <w:rPr>
                <w:szCs w:val="21"/>
              </w:rPr>
            </w:pPr>
            <w:r>
              <w:rPr>
                <w:rFonts w:hint="eastAsia"/>
                <w:szCs w:val="21"/>
              </w:rPr>
              <w:t>提供</w:t>
            </w:r>
            <w:r>
              <w:rPr>
                <w:szCs w:val="21"/>
              </w:rPr>
              <w:t>202</w:t>
            </w:r>
            <w:r>
              <w:rPr>
                <w:rFonts w:hint="eastAsia"/>
                <w:szCs w:val="21"/>
                <w:lang w:val="en-US" w:eastAsia="zh-CN"/>
              </w:rPr>
              <w:t>1</w:t>
            </w:r>
            <w:r>
              <w:rPr>
                <w:rFonts w:hint="eastAsia"/>
                <w:szCs w:val="21"/>
              </w:rPr>
              <w:t>年度《内部审核计划》，内审安排1次。明确审核目的、范围、依据、日期（20</w:t>
            </w:r>
            <w:r>
              <w:rPr>
                <w:szCs w:val="21"/>
              </w:rPr>
              <w:t>2</w:t>
            </w:r>
            <w:r>
              <w:rPr>
                <w:rFonts w:hint="eastAsia"/>
                <w:szCs w:val="21"/>
                <w:lang w:val="en-US" w:eastAsia="zh-CN"/>
              </w:rPr>
              <w:t>1</w:t>
            </w:r>
            <w:r>
              <w:rPr>
                <w:rFonts w:hint="eastAsia"/>
                <w:szCs w:val="21"/>
              </w:rPr>
              <w:t>.</w:t>
            </w:r>
            <w:r>
              <w:rPr>
                <w:rFonts w:hint="eastAsia"/>
                <w:szCs w:val="21"/>
                <w:lang w:val="en-US" w:eastAsia="zh-CN"/>
              </w:rPr>
              <w:t>3</w:t>
            </w:r>
            <w:r>
              <w:rPr>
                <w:szCs w:val="21"/>
              </w:rPr>
              <w:t>.</w:t>
            </w:r>
            <w:r>
              <w:rPr>
                <w:rFonts w:hint="eastAsia"/>
                <w:szCs w:val="21"/>
                <w:lang w:val="en-US" w:eastAsia="zh-CN"/>
              </w:rPr>
              <w:t>15</w:t>
            </w:r>
            <w:r>
              <w:rPr>
                <w:rFonts w:hint="eastAsia"/>
                <w:szCs w:val="21"/>
              </w:rPr>
              <w:t>~</w:t>
            </w:r>
            <w:r>
              <w:rPr>
                <w:rFonts w:hint="eastAsia"/>
                <w:szCs w:val="21"/>
                <w:lang w:val="en-US" w:eastAsia="zh-CN"/>
              </w:rPr>
              <w:t>16</w:t>
            </w:r>
            <w:r>
              <w:rPr>
                <w:rFonts w:hint="eastAsia"/>
                <w:szCs w:val="21"/>
              </w:rPr>
              <w:t>），组长：许振红，组员：浦其炳，有培训记录和总经理的任命书；编制：浦其炳，审批：许振红，日期：</w:t>
            </w:r>
            <w:r>
              <w:rPr>
                <w:szCs w:val="21"/>
              </w:rPr>
              <w:t>2020</w:t>
            </w:r>
            <w:r>
              <w:rPr>
                <w:rFonts w:hint="eastAsia"/>
                <w:szCs w:val="21"/>
              </w:rPr>
              <w:t>.</w:t>
            </w:r>
            <w:r>
              <w:rPr>
                <w:rFonts w:hint="eastAsia"/>
                <w:szCs w:val="21"/>
                <w:lang w:val="en-US" w:eastAsia="zh-CN"/>
              </w:rPr>
              <w:t>3</w:t>
            </w:r>
            <w:r>
              <w:rPr>
                <w:szCs w:val="21"/>
              </w:rPr>
              <w:t>.1</w:t>
            </w:r>
            <w:r>
              <w:rPr>
                <w:rFonts w:hint="eastAsia"/>
                <w:szCs w:val="21"/>
                <w:lang w:val="en-US" w:eastAsia="zh-CN"/>
              </w:rPr>
              <w:t>0</w:t>
            </w:r>
            <w:r>
              <w:rPr>
                <w:rFonts w:hint="eastAsia"/>
                <w:szCs w:val="21"/>
              </w:rPr>
              <w:t>。</w:t>
            </w:r>
          </w:p>
          <w:p>
            <w:pPr>
              <w:spacing w:line="280" w:lineRule="exact"/>
              <w:ind w:left="210" w:leftChars="100" w:firstLine="210" w:firstLineChars="100"/>
              <w:rPr>
                <w:szCs w:val="21"/>
              </w:rPr>
            </w:pPr>
            <w:r>
              <w:rPr>
                <w:rFonts w:hint="eastAsia"/>
                <w:szCs w:val="21"/>
              </w:rPr>
              <w:t>计划内容涉及各部门，条款覆盖整个体系，时间安排合理。同时考虑到互查的公正性。</w:t>
            </w:r>
            <w:r>
              <w:rPr>
                <w:rFonts w:hint="eastAsia"/>
                <w:szCs w:val="21"/>
                <w:lang w:val="en-US" w:eastAsia="zh-CN"/>
              </w:rPr>
              <w:t>见</w:t>
            </w:r>
            <w:r>
              <w:rPr>
                <w:rFonts w:hint="eastAsia"/>
                <w:szCs w:val="21"/>
              </w:rPr>
              <w:t>有签到表。</w:t>
            </w:r>
          </w:p>
          <w:p>
            <w:pPr>
              <w:spacing w:line="280" w:lineRule="exact"/>
              <w:ind w:firstLine="420" w:firstLineChars="200"/>
              <w:rPr>
                <w:szCs w:val="21"/>
              </w:rPr>
            </w:pPr>
            <w:r>
              <w:rPr>
                <w:rFonts w:hint="eastAsia"/>
                <w:szCs w:val="21"/>
              </w:rPr>
              <w:t>查《内审检查表》，有管理层、管理部、技术部、供销部、生产部、质量部等部门的审核记录，条款与策划一致，记录真实、完整。包括QEO体系所有条款，没有遗漏。</w:t>
            </w:r>
          </w:p>
          <w:p>
            <w:pPr>
              <w:spacing w:line="280" w:lineRule="exact"/>
              <w:ind w:firstLine="420" w:firstLineChars="200"/>
              <w:rPr>
                <w:szCs w:val="21"/>
              </w:rPr>
            </w:pPr>
            <w:r>
              <w:rPr>
                <w:rFonts w:hint="eastAsia"/>
                <w:szCs w:val="21"/>
              </w:rPr>
              <w:t>查《不合格报告》本次发现不符合</w:t>
            </w:r>
            <w:r>
              <w:rPr>
                <w:rFonts w:hint="eastAsia"/>
                <w:szCs w:val="21"/>
                <w:lang w:val="en-US" w:eastAsia="zh-CN"/>
              </w:rPr>
              <w:t>2</w:t>
            </w:r>
            <w:r>
              <w:rPr>
                <w:rFonts w:hint="eastAsia"/>
                <w:szCs w:val="21"/>
              </w:rPr>
              <w:t>个，均为一般不符合，分别为Q</w:t>
            </w:r>
            <w:r>
              <w:rPr>
                <w:rFonts w:hint="eastAsia"/>
                <w:szCs w:val="21"/>
                <w:lang w:val="en-US" w:eastAsia="zh-CN"/>
              </w:rPr>
              <w:t>7</w:t>
            </w:r>
            <w:r>
              <w:rPr>
                <w:szCs w:val="21"/>
              </w:rPr>
              <w:t>.</w:t>
            </w:r>
            <w:r>
              <w:rPr>
                <w:rFonts w:hint="eastAsia"/>
                <w:szCs w:val="21"/>
                <w:lang w:val="en-US" w:eastAsia="zh-CN"/>
              </w:rPr>
              <w:t>2</w:t>
            </w:r>
            <w:r>
              <w:rPr>
                <w:rFonts w:hint="eastAsia"/>
                <w:szCs w:val="21"/>
              </w:rPr>
              <w:t>、</w:t>
            </w:r>
            <w:r>
              <w:rPr>
                <w:szCs w:val="21"/>
              </w:rPr>
              <w:t>E</w:t>
            </w:r>
            <w:r>
              <w:rPr>
                <w:rFonts w:hint="eastAsia"/>
                <w:szCs w:val="21"/>
                <w:lang w:val="en-US" w:eastAsia="zh-CN"/>
              </w:rPr>
              <w:t>O</w:t>
            </w:r>
            <w:r>
              <w:rPr>
                <w:szCs w:val="21"/>
              </w:rPr>
              <w:t>8.1</w:t>
            </w:r>
            <w:r>
              <w:rPr>
                <w:rFonts w:hint="eastAsia"/>
                <w:szCs w:val="21"/>
              </w:rPr>
              <w:t>。对于不符合项所采取的纠正等措施，各内审员逐一进行了验证。上述内容记录完整。提供《内部审核报告》，结论： 公司建立的质量/环境/职业健康安全管理体系基本符合标准要求。管理体系的运行是适宜的、充分的、有效的。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QE</w:t>
            </w:r>
            <w:r>
              <w:rPr>
                <w:szCs w:val="21"/>
              </w:rPr>
              <w:t>O</w:t>
            </w:r>
            <w:r>
              <w:rPr>
                <w:rFonts w:hint="eastAsia"/>
                <w:szCs w:val="21"/>
              </w:rPr>
              <w:t>9.3</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编制了管理评审控制程序，由总经理负责，提供了最近一次管理评审：</w:t>
            </w:r>
          </w:p>
          <w:p>
            <w:pPr>
              <w:spacing w:line="280" w:lineRule="exact"/>
              <w:rPr>
                <w:rFonts w:ascii="宋体" w:hAnsi="宋体" w:cs="宋体"/>
                <w:szCs w:val="21"/>
              </w:rPr>
            </w:pPr>
            <w:r>
              <w:rPr>
                <w:rFonts w:hint="eastAsia" w:ascii="宋体" w:hAnsi="宋体" w:cs="宋体"/>
                <w:szCs w:val="21"/>
              </w:rPr>
              <w:t>1.管理评审计划</w:t>
            </w:r>
          </w:p>
          <w:p>
            <w:pPr>
              <w:spacing w:line="280" w:lineRule="exact"/>
              <w:rPr>
                <w:rFonts w:ascii="宋体" w:hAnsi="宋体" w:cs="宋体"/>
                <w:szCs w:val="21"/>
              </w:rPr>
            </w:pPr>
            <w:r>
              <w:rPr>
                <w:rFonts w:hint="eastAsia" w:ascii="宋体" w:hAnsi="宋体" w:cs="宋体"/>
                <w:szCs w:val="21"/>
              </w:rPr>
              <w:t>评审时间：计划202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15</w:t>
            </w:r>
            <w:r>
              <w:rPr>
                <w:rFonts w:hint="eastAsia" w:ascii="宋体" w:hAnsi="宋体" w:cs="宋体"/>
                <w:szCs w:val="21"/>
              </w:rPr>
              <w:t>日进行 评审方式：会议评审，编制：管理部  批准：许振红。</w:t>
            </w:r>
          </w:p>
          <w:p>
            <w:pPr>
              <w:spacing w:line="280" w:lineRule="exact"/>
              <w:rPr>
                <w:rFonts w:ascii="宋体" w:hAnsi="宋体" w:cs="宋体"/>
                <w:szCs w:val="21"/>
              </w:rPr>
            </w:pPr>
            <w:r>
              <w:rPr>
                <w:rFonts w:hint="eastAsia" w:ascii="宋体" w:hAnsi="宋体" w:cs="宋体"/>
                <w:szCs w:val="21"/>
              </w:rPr>
              <w:t>参加人员包括公司总经理、管理者代表、各部门负责人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spacing w:line="280" w:lineRule="exact"/>
              <w:rPr>
                <w:rFonts w:ascii="宋体" w:hAnsi="宋体" w:cs="宋体"/>
                <w:szCs w:val="21"/>
              </w:rPr>
            </w:pPr>
            <w:r>
              <w:rPr>
                <w:rFonts w:hint="eastAsia" w:ascii="宋体" w:hAnsi="宋体" w:cs="宋体"/>
                <w:szCs w:val="21"/>
              </w:rPr>
              <w:t>2.管理评审会议记录</w:t>
            </w:r>
          </w:p>
          <w:p>
            <w:pPr>
              <w:spacing w:line="280" w:lineRule="exact"/>
              <w:rPr>
                <w:rFonts w:ascii="宋体" w:hAnsi="宋体" w:cs="宋体"/>
                <w:szCs w:val="21"/>
              </w:rPr>
            </w:pPr>
            <w:r>
              <w:rPr>
                <w:rFonts w:hint="eastAsia" w:ascii="宋体" w:hAnsi="宋体" w:cs="宋体"/>
                <w:szCs w:val="21"/>
              </w:rPr>
              <w:t>按计划的时间实施了管理评审。管理评审输入：管理方针、目标的适宜行和实现情况；管理体系的符合性；内审结果；内外部环境分析及风险应对措施的落实情况；纠正预防措施及持续改进能力；重要环境因素和不可接受风险控制及效果；合规性评价；可能影响管理体系的变更；质量事故、顾客满意度；改进建议等；</w:t>
            </w:r>
          </w:p>
          <w:p>
            <w:pPr>
              <w:spacing w:line="280" w:lineRule="exact"/>
              <w:rPr>
                <w:rFonts w:ascii="宋体" w:hAnsi="宋体" w:cs="宋体"/>
                <w:szCs w:val="21"/>
              </w:rPr>
            </w:pPr>
            <w:r>
              <w:rPr>
                <w:rFonts w:hint="eastAsia" w:ascii="宋体" w:hAnsi="宋体" w:cs="宋体"/>
                <w:szCs w:val="21"/>
              </w:rPr>
              <w:t>3.管理评审报告</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管理评审输出：</w:t>
            </w:r>
          </w:p>
          <w:p>
            <w:pPr>
              <w:spacing w:line="20" w:lineRule="atLeast"/>
              <w:ind w:left="20" w:right="210" w:rightChars="100"/>
              <w:rPr>
                <w:rFonts w:hint="eastAsia" w:asciiTheme="minorEastAsia" w:hAnsiTheme="minorEastAsia" w:eastAsiaTheme="minorEastAsia"/>
                <w:szCs w:val="24"/>
              </w:rPr>
            </w:pPr>
            <w:r>
              <w:rPr>
                <w:rFonts w:hint="eastAsia" w:asciiTheme="minorEastAsia" w:hAnsiTheme="minorEastAsia" w:eastAsiaTheme="minorEastAsia"/>
                <w:szCs w:val="24"/>
              </w:rPr>
              <w:t>查看了总经理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评审结论：公司的管理体系是适宜的、充分的和有效的，达到了顾客满意和持续改进的目的。</w:t>
            </w:r>
          </w:p>
          <w:p>
            <w:pPr>
              <w:spacing w:line="20" w:lineRule="atLeast"/>
              <w:ind w:left="20" w:right="210" w:rightChars="100"/>
              <w:rPr>
                <w:rFonts w:hint="eastAsia" w:asciiTheme="minorEastAsia" w:hAnsiTheme="minorEastAsia" w:eastAsiaTheme="minorEastAsia"/>
                <w:szCs w:val="24"/>
              </w:rPr>
            </w:pPr>
            <w:r>
              <w:rPr>
                <w:rFonts w:hint="eastAsia" w:asciiTheme="minorEastAsia" w:hAnsiTheme="minorEastAsia" w:eastAsiaTheme="minorEastAsia"/>
                <w:szCs w:val="24"/>
              </w:rPr>
              <w:t>提出了</w:t>
            </w:r>
            <w:r>
              <w:rPr>
                <w:rFonts w:hint="eastAsia" w:asciiTheme="minorEastAsia" w:hAnsiTheme="minorEastAsia" w:eastAsiaTheme="minorEastAsia"/>
                <w:szCs w:val="24"/>
                <w:lang w:val="en-US" w:eastAsia="zh-CN"/>
              </w:rPr>
              <w:t>2</w:t>
            </w:r>
            <w:r>
              <w:rPr>
                <w:rFonts w:hint="eastAsia" w:asciiTheme="minorEastAsia" w:hAnsiTheme="minorEastAsia" w:eastAsiaTheme="minorEastAsia"/>
                <w:szCs w:val="24"/>
              </w:rPr>
              <w:t>项改进措施:（1）进一步加强人才引进和系统工程管理工作，为增强企业的后劲和提高生产能力作好资源的贮备工作，今年下半年继续引进1名环保、安全管理人才；</w:t>
            </w:r>
          </w:p>
          <w:p>
            <w:pPr>
              <w:spacing w:line="280" w:lineRule="exact"/>
              <w:rPr>
                <w:rFonts w:ascii="宋体" w:hAnsi="宋体" w:cs="宋体"/>
                <w:szCs w:val="21"/>
              </w:rPr>
            </w:pPr>
            <w:r>
              <w:rPr>
                <w:rFonts w:hint="eastAsia" w:asciiTheme="minorEastAsia" w:hAnsiTheme="minorEastAsia" w:eastAsiaTheme="minorEastAsia"/>
                <w:szCs w:val="24"/>
              </w:rPr>
              <w:t>（2）进一步强化员工的环保、安全意识，满足相关方的需求。</w:t>
            </w:r>
            <w:r>
              <w:rPr>
                <w:rFonts w:hint="eastAsia" w:ascii="宋体" w:hAnsi="宋体" w:cs="宋体"/>
                <w:szCs w:val="21"/>
              </w:rPr>
              <w:t>总体评价质量环境职业健康安全管理体系运行是有效的，资源提供是充分的，方针目标是适宜的。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22" w:type="dxa"/>
          </w:tcPr>
          <w:p>
            <w:pPr>
              <w:spacing w:line="280" w:lineRule="exact"/>
              <w:rPr>
                <w:rFonts w:ascii="宋体" w:hAnsi="宋体" w:cs="宋体"/>
                <w:szCs w:val="21"/>
              </w:rPr>
            </w:pPr>
            <w:r>
              <w:rPr>
                <w:rFonts w:hint="eastAsia" w:ascii="宋体" w:hAnsi="宋体" w:cs="宋体"/>
                <w:szCs w:val="21"/>
              </w:rPr>
              <w:t>总则</w:t>
            </w:r>
          </w:p>
        </w:tc>
        <w:tc>
          <w:tcPr>
            <w:tcW w:w="998" w:type="dxa"/>
          </w:tcPr>
          <w:p>
            <w:pPr>
              <w:spacing w:line="280" w:lineRule="exact"/>
              <w:rPr>
                <w:szCs w:val="21"/>
              </w:rPr>
            </w:pPr>
            <w:r>
              <w:rPr>
                <w:rFonts w:hint="eastAsia"/>
                <w:szCs w:val="21"/>
              </w:rPr>
              <w:t>QE</w:t>
            </w:r>
            <w:r>
              <w:rPr>
                <w:szCs w:val="21"/>
              </w:rPr>
              <w:t>O</w:t>
            </w:r>
            <w:r>
              <w:rPr>
                <w:rFonts w:hint="eastAsia"/>
                <w:szCs w:val="21"/>
              </w:rPr>
              <w:t xml:space="preserve"> 10.1</w:t>
            </w:r>
          </w:p>
        </w:tc>
        <w:tc>
          <w:tcPr>
            <w:tcW w:w="10004" w:type="dxa"/>
          </w:tcPr>
          <w:p>
            <w:pPr>
              <w:spacing w:line="280" w:lineRule="exact"/>
              <w:ind w:firstLine="420" w:firstLineChars="200"/>
              <w:rPr>
                <w:rFonts w:ascii="宋体" w:hAnsi="宋体" w:cs="宋体"/>
                <w:szCs w:val="21"/>
              </w:rPr>
            </w:pPr>
            <w:r>
              <w:rPr>
                <w:rFonts w:hint="eastAsia" w:ascii="宋体" w:hAnsi="宋体" w:cs="宋体"/>
                <w:szCs w:val="21"/>
              </w:rPr>
              <w:t>综合</w:t>
            </w:r>
            <w:r>
              <w:rPr>
                <w:rFonts w:hint="eastAsia" w:ascii="宋体" w:hAnsi="宋体" w:cs="宋体"/>
                <w:szCs w:val="21"/>
                <w:lang w:val="en-US" w:eastAsia="zh-CN"/>
              </w:rPr>
              <w:t>各</w:t>
            </w:r>
            <w:r>
              <w:rPr>
                <w:rFonts w:hint="eastAsia" w:ascii="宋体" w:hAnsi="宋体" w:cs="宋体"/>
                <w:szCs w:val="21"/>
              </w:rPr>
              <w:t>部</w:t>
            </w:r>
            <w:r>
              <w:rPr>
                <w:rFonts w:hint="eastAsia" w:ascii="宋体" w:hAnsi="宋体" w:cs="宋体"/>
                <w:szCs w:val="21"/>
                <w:lang w:val="en-US" w:eastAsia="zh-CN"/>
              </w:rPr>
              <w:t>门的</w:t>
            </w:r>
            <w:r>
              <w:rPr>
                <w:rFonts w:hint="eastAsia" w:ascii="宋体" w:hAnsi="宋体" w:cs="宋体"/>
                <w:szCs w:val="21"/>
              </w:rPr>
              <w:t xml:space="preserve">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22" w:type="dxa"/>
          </w:tcPr>
          <w:p>
            <w:pPr>
              <w:spacing w:line="280" w:lineRule="exact"/>
              <w:rPr>
                <w:rFonts w:ascii="宋体" w:hAnsi="宋体" w:cs="宋体"/>
                <w:szCs w:val="21"/>
              </w:rPr>
            </w:pPr>
            <w:r>
              <w:rPr>
                <w:rFonts w:hint="eastAsia" w:ascii="宋体" w:hAnsi="宋体" w:cs="宋体"/>
                <w:szCs w:val="21"/>
              </w:rPr>
              <w:t>10.2不符合/事件和纠正措施</w:t>
            </w:r>
          </w:p>
        </w:tc>
        <w:tc>
          <w:tcPr>
            <w:tcW w:w="998" w:type="dxa"/>
          </w:tcPr>
          <w:p>
            <w:pPr>
              <w:spacing w:line="280" w:lineRule="exact"/>
              <w:rPr>
                <w:szCs w:val="21"/>
              </w:rPr>
            </w:pPr>
            <w:r>
              <w:rPr>
                <w:rFonts w:hint="eastAsia"/>
                <w:szCs w:val="21"/>
              </w:rPr>
              <w:t>QE</w:t>
            </w:r>
            <w:r>
              <w:rPr>
                <w:szCs w:val="21"/>
              </w:rPr>
              <w:t>O</w:t>
            </w:r>
            <w:r>
              <w:rPr>
                <w:rFonts w:hint="eastAsia"/>
                <w:szCs w:val="21"/>
              </w:rPr>
              <w:t xml:space="preserve"> 10.</w:t>
            </w:r>
            <w:r>
              <w:rPr>
                <w:szCs w:val="21"/>
              </w:rPr>
              <w:t>2</w:t>
            </w:r>
          </w:p>
        </w:tc>
        <w:tc>
          <w:tcPr>
            <w:tcW w:w="10004" w:type="dxa"/>
            <w:vAlign w:val="center"/>
          </w:tcPr>
          <w:p>
            <w:pPr>
              <w:snapToGrid w:val="0"/>
              <w:spacing w:line="280" w:lineRule="exact"/>
              <w:ind w:firstLine="420" w:firstLineChars="200"/>
              <w:jc w:val="left"/>
              <w:rPr>
                <w:szCs w:val="21"/>
              </w:rPr>
            </w:pPr>
            <w:r>
              <w:rPr>
                <w:rFonts w:hint="eastAsia"/>
                <w:szCs w:val="21"/>
              </w:rPr>
              <w:t>负责人介绍公司在运行过程中对发现的不合格都会采取纠正、纠正措施以防止不合格或不符合再次发生，同时也会举一反三地看待其他部门或类似过程，采取预防措施以防止发生不合格或不符合。 公司内审时发现的</w:t>
            </w:r>
            <w:r>
              <w:rPr>
                <w:rFonts w:hint="eastAsia"/>
                <w:szCs w:val="21"/>
                <w:lang w:val="en-US" w:eastAsia="zh-CN"/>
              </w:rPr>
              <w:t>2</w:t>
            </w:r>
            <w:r>
              <w:rPr>
                <w:rFonts w:hint="eastAsia"/>
                <w:szCs w:val="21"/>
              </w:rPr>
              <w:t>项不符合项进行了原因分析、纠正措施和验证。</w:t>
            </w:r>
          </w:p>
          <w:p>
            <w:pPr>
              <w:snapToGrid w:val="0"/>
              <w:spacing w:line="280" w:lineRule="exact"/>
              <w:ind w:firstLine="420" w:firstLineChars="200"/>
              <w:jc w:val="left"/>
              <w:rPr>
                <w:szCs w:val="21"/>
              </w:rPr>
            </w:pPr>
            <w:r>
              <w:rPr>
                <w:rFonts w:hint="eastAsia"/>
                <w:szCs w:val="21"/>
              </w:rPr>
              <w:t>公司对纠正及预防措施的管理基本符合要求。</w:t>
            </w:r>
          </w:p>
          <w:p>
            <w:pPr>
              <w:snapToGrid w:val="0"/>
              <w:spacing w:line="280" w:lineRule="exact"/>
              <w:ind w:firstLine="420" w:firstLineChars="200"/>
              <w:jc w:val="left"/>
              <w:rPr>
                <w:szCs w:val="21"/>
              </w:rPr>
            </w:pPr>
            <w:r>
              <w:rPr>
                <w:rFonts w:hint="eastAsia"/>
                <w:szCs w:val="21"/>
              </w:rPr>
              <w:t>审核周期内，没有发生环境或职业健康安全方面的事故。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280" w:lineRule="exact"/>
              <w:rPr>
                <w:rFonts w:ascii="宋体" w:hAnsi="宋体" w:cs="宋体"/>
                <w:szCs w:val="21"/>
              </w:rPr>
            </w:pPr>
            <w:r>
              <w:rPr>
                <w:rFonts w:hint="eastAsia" w:ascii="宋体" w:hAnsi="宋体" w:cs="宋体"/>
                <w:szCs w:val="21"/>
              </w:rPr>
              <w:t>持续改进</w:t>
            </w:r>
          </w:p>
        </w:tc>
        <w:tc>
          <w:tcPr>
            <w:tcW w:w="998" w:type="dxa"/>
          </w:tcPr>
          <w:p>
            <w:pPr>
              <w:spacing w:line="280" w:lineRule="exact"/>
              <w:rPr>
                <w:szCs w:val="21"/>
              </w:rPr>
            </w:pPr>
            <w:r>
              <w:rPr>
                <w:rFonts w:hint="eastAsia"/>
                <w:szCs w:val="21"/>
              </w:rPr>
              <w:t>QE</w:t>
            </w:r>
            <w:r>
              <w:rPr>
                <w:szCs w:val="21"/>
              </w:rPr>
              <w:t>O</w:t>
            </w:r>
            <w:r>
              <w:rPr>
                <w:rFonts w:hint="eastAsia"/>
                <w:szCs w:val="21"/>
              </w:rPr>
              <w:t xml:space="preserve"> 10.3</w:t>
            </w:r>
          </w:p>
        </w:tc>
        <w:tc>
          <w:tcPr>
            <w:tcW w:w="10004" w:type="dxa"/>
            <w:vAlign w:val="center"/>
          </w:tcPr>
          <w:p>
            <w:pPr>
              <w:spacing w:line="280" w:lineRule="exact"/>
              <w:rPr>
                <w:rFonts w:ascii="宋体" w:hAnsi="宋体" w:cs="宋体"/>
                <w:szCs w:val="21"/>
              </w:rPr>
            </w:pPr>
            <w:r>
              <w:rPr>
                <w:rFonts w:hint="eastAsia" w:ascii="宋体" w:hAnsi="宋体" w:cs="宋体"/>
                <w:szCs w:val="21"/>
              </w:rPr>
              <w:t xml:space="preserve">    公司组织确定并选择改进机会，采取必要措施，满足顾客要求和增强顾客满意。</w:t>
            </w:r>
          </w:p>
          <w:p>
            <w:pPr>
              <w:spacing w:line="280" w:lineRule="exact"/>
              <w:rPr>
                <w:rFonts w:ascii="宋体" w:hAnsi="宋体" w:cs="宋体"/>
                <w:szCs w:val="21"/>
              </w:rPr>
            </w:pPr>
            <w:r>
              <w:rPr>
                <w:rFonts w:hint="eastAsia" w:ascii="宋体" w:hAnsi="宋体" w:cs="宋体"/>
                <w:szCs w:val="21"/>
              </w:rPr>
              <w:t>包括：</w:t>
            </w:r>
          </w:p>
          <w:p>
            <w:pPr>
              <w:spacing w:line="280" w:lineRule="exact"/>
              <w:rPr>
                <w:rFonts w:ascii="宋体" w:hAnsi="宋体" w:cs="宋体"/>
                <w:szCs w:val="21"/>
              </w:rPr>
            </w:pPr>
            <w:r>
              <w:rPr>
                <w:rFonts w:hint="eastAsia" w:ascii="宋体" w:hAnsi="宋体" w:cs="宋体"/>
                <w:szCs w:val="21"/>
              </w:rPr>
              <w:t>a) 改进产品或服务，以满足要求并关注未来的需求和期望；</w:t>
            </w:r>
          </w:p>
          <w:p>
            <w:pPr>
              <w:spacing w:line="280" w:lineRule="exact"/>
              <w:rPr>
                <w:rFonts w:ascii="宋体" w:hAnsi="宋体" w:cs="宋体"/>
                <w:szCs w:val="21"/>
              </w:rPr>
            </w:pPr>
            <w:r>
              <w:rPr>
                <w:rFonts w:hint="eastAsia" w:ascii="宋体" w:hAnsi="宋体" w:cs="宋体"/>
                <w:szCs w:val="21"/>
              </w:rPr>
              <w:t>b) 纠正或减少不利影响；</w:t>
            </w:r>
          </w:p>
          <w:p>
            <w:pPr>
              <w:spacing w:line="280" w:lineRule="exact"/>
              <w:rPr>
                <w:rFonts w:ascii="宋体" w:hAnsi="宋体" w:cs="宋体"/>
                <w:szCs w:val="21"/>
              </w:rPr>
            </w:pPr>
            <w:r>
              <w:rPr>
                <w:rFonts w:hint="eastAsia" w:ascii="宋体" w:hAnsi="宋体" w:cs="宋体"/>
                <w:szCs w:val="21"/>
              </w:rPr>
              <w:t>c) 改进管理体系绩效和有效性。</w:t>
            </w:r>
          </w:p>
          <w:p>
            <w:pPr>
              <w:spacing w:line="280" w:lineRule="exact"/>
              <w:rPr>
                <w:rFonts w:ascii="宋体" w:hAnsi="宋体" w:cs="宋体"/>
                <w:szCs w:val="21"/>
              </w:rPr>
            </w:pPr>
            <w:r>
              <w:rPr>
                <w:rFonts w:hint="eastAsia" w:ascii="宋体" w:hAnsi="宋体" w:cs="宋体"/>
                <w:szCs w:val="21"/>
              </w:rPr>
              <w:t>对以下方面所需的监视、测量、分析和改进过程进行策划和实施：</w:t>
            </w:r>
          </w:p>
          <w:p>
            <w:pPr>
              <w:spacing w:line="280" w:lineRule="exact"/>
              <w:rPr>
                <w:rFonts w:ascii="宋体" w:hAnsi="宋体" w:cs="宋体"/>
                <w:szCs w:val="21"/>
              </w:rPr>
            </w:pPr>
            <w:r>
              <w:rPr>
                <w:rFonts w:hint="eastAsia" w:ascii="宋体" w:hAnsi="宋体" w:cs="宋体"/>
                <w:szCs w:val="21"/>
              </w:rPr>
              <w:t>1.证实销售满足规定的要求；</w:t>
            </w:r>
          </w:p>
          <w:p>
            <w:pPr>
              <w:spacing w:line="280" w:lineRule="exact"/>
              <w:rPr>
                <w:rFonts w:ascii="宋体" w:hAnsi="宋体" w:cs="宋体"/>
                <w:szCs w:val="21"/>
              </w:rPr>
            </w:pPr>
            <w:r>
              <w:rPr>
                <w:rFonts w:hint="eastAsia" w:ascii="宋体" w:hAnsi="宋体" w:cs="宋体"/>
                <w:szCs w:val="21"/>
              </w:rPr>
              <w:t>2.确保管理体系的符合性；</w:t>
            </w:r>
          </w:p>
          <w:p>
            <w:pPr>
              <w:spacing w:line="280" w:lineRule="exact"/>
              <w:rPr>
                <w:rFonts w:ascii="宋体" w:hAnsi="宋体" w:cs="宋体"/>
                <w:szCs w:val="21"/>
              </w:rPr>
            </w:pPr>
            <w:r>
              <w:rPr>
                <w:rFonts w:hint="eastAsia" w:ascii="宋体" w:hAnsi="宋体" w:cs="宋体"/>
                <w:szCs w:val="21"/>
              </w:rPr>
              <w:t>3.持续改进管理体系的有效性。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2122" w:type="dxa"/>
            <w:vAlign w:val="top"/>
          </w:tcPr>
          <w:p>
            <w:pP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国家/地方抽查、顾客满意、相关方投诉处理</w:t>
            </w:r>
          </w:p>
        </w:tc>
        <w:tc>
          <w:tcPr>
            <w:tcW w:w="998" w:type="dxa"/>
            <w:vAlign w:val="top"/>
          </w:tcPr>
          <w:p>
            <w:pPr>
              <w:rPr>
                <w:rFonts w:hint="eastAsia" w:cs="Times New Roman" w:asciiTheme="minorEastAsia" w:hAnsiTheme="minorEastAsia" w:eastAsiaTheme="minorEastAsia"/>
                <w:kern w:val="2"/>
                <w:sz w:val="21"/>
                <w:szCs w:val="24"/>
                <w:lang w:val="en-US" w:eastAsia="zh-CN" w:bidi="ar-SA"/>
              </w:rPr>
            </w:pPr>
          </w:p>
        </w:tc>
        <w:tc>
          <w:tcPr>
            <w:tcW w:w="10004" w:type="dxa"/>
            <w:vAlign w:val="top"/>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公司成立和体系运行以来，未受到上级主管部门有关质量、环境问题、职业健康安全的行政处罚。未发生相关方的投诉。到目前为止没有国家/地方抽查情况。</w:t>
            </w:r>
          </w:p>
          <w:p>
            <w:pPr>
              <w:snapToGrid w:val="0"/>
              <w:spacing w:line="360" w:lineRule="auto"/>
              <w:ind w:firstLine="420" w:firstLineChars="200"/>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目前没有相关行政主管部门的检查处罚，在审核现场也未发现抽查、相关方投诉等情况。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22" w:type="dxa"/>
            <w:vAlign w:val="top"/>
          </w:tcPr>
          <w:p>
            <w:pP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验证企业相关资质证明的有效性</w:t>
            </w:r>
          </w:p>
        </w:tc>
        <w:tc>
          <w:tcPr>
            <w:tcW w:w="998" w:type="dxa"/>
            <w:vAlign w:val="top"/>
          </w:tcPr>
          <w:p>
            <w:pPr>
              <w:rPr>
                <w:rFonts w:hint="eastAsia" w:cs="Times New Roman" w:asciiTheme="minorEastAsia" w:hAnsiTheme="minorEastAsia" w:eastAsiaTheme="minorEastAsia"/>
                <w:kern w:val="2"/>
                <w:sz w:val="21"/>
                <w:szCs w:val="24"/>
                <w:lang w:val="en-US" w:eastAsia="zh-CN" w:bidi="ar-SA"/>
              </w:rPr>
            </w:pPr>
          </w:p>
        </w:tc>
        <w:tc>
          <w:tcPr>
            <w:tcW w:w="10004" w:type="dxa"/>
            <w:vAlign w:val="top"/>
          </w:tcPr>
          <w:p>
            <w:pPr>
              <w:snapToGrid w:val="0"/>
              <w:spacing w:line="360" w:lineRule="auto"/>
              <w:ind w:firstLine="420" w:firstLineChars="200"/>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营业执照与提交的一致。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0" w:type="auto"/>
            <w:vAlign w:val="top"/>
          </w:tcPr>
          <w:p>
            <w:pP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lang w:val="en-US" w:eastAsia="zh-CN"/>
              </w:rPr>
              <w:t>初审</w:t>
            </w:r>
            <w:r>
              <w:rPr>
                <w:rFonts w:hint="eastAsia" w:asciiTheme="minorEastAsia" w:hAnsiTheme="minorEastAsia" w:eastAsiaTheme="minorEastAsia"/>
                <w:szCs w:val="24"/>
              </w:rPr>
              <w:t>问题验证</w:t>
            </w:r>
          </w:p>
        </w:tc>
        <w:tc>
          <w:tcPr>
            <w:tcW w:w="0" w:type="auto"/>
            <w:vAlign w:val="top"/>
          </w:tcPr>
          <w:p>
            <w:pPr>
              <w:rPr>
                <w:rFonts w:hint="eastAsia" w:cs="Times New Roman" w:asciiTheme="minorEastAsia" w:hAnsiTheme="minorEastAsia" w:eastAsiaTheme="minorEastAsia"/>
                <w:kern w:val="2"/>
                <w:sz w:val="21"/>
                <w:szCs w:val="24"/>
                <w:lang w:val="en-US" w:eastAsia="zh-CN" w:bidi="ar-SA"/>
              </w:rPr>
            </w:pPr>
          </w:p>
        </w:tc>
        <w:tc>
          <w:tcPr>
            <w:tcW w:w="0" w:type="auto"/>
            <w:vAlign w:val="top"/>
          </w:tcPr>
          <w:p>
            <w:pPr>
              <w:spacing w:line="360" w:lineRule="auto"/>
              <w:ind w:firstLine="420" w:firstLineChars="200"/>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lang w:val="en-US" w:eastAsia="zh-CN"/>
              </w:rPr>
              <w:t>初审</w:t>
            </w:r>
            <w:r>
              <w:rPr>
                <w:rFonts w:hint="eastAsia" w:asciiTheme="minorEastAsia" w:hAnsiTheme="minorEastAsia" w:eastAsiaTheme="minorEastAsia"/>
                <w:szCs w:val="24"/>
              </w:rPr>
              <w:t>审核时发现的问题，经现场验证已关闭，整改措施有效。</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0" w:type="auto"/>
            <w:vAlign w:val="top"/>
          </w:tcPr>
          <w:p>
            <w:pP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职业健康安全代表</w:t>
            </w:r>
          </w:p>
        </w:tc>
        <w:tc>
          <w:tcPr>
            <w:tcW w:w="0" w:type="auto"/>
            <w:vAlign w:val="top"/>
          </w:tcPr>
          <w:p>
            <w:pPr>
              <w:rPr>
                <w:rFonts w:hint="eastAsia" w:cs="Times New Roman" w:asciiTheme="minorEastAsia" w:hAnsiTheme="minorEastAsia" w:eastAsiaTheme="minorEastAsia"/>
                <w:kern w:val="2"/>
                <w:sz w:val="21"/>
                <w:szCs w:val="24"/>
                <w:lang w:val="en-US" w:eastAsia="zh-CN" w:bidi="ar-SA"/>
              </w:rPr>
            </w:pPr>
          </w:p>
        </w:tc>
        <w:tc>
          <w:tcPr>
            <w:tcW w:w="0" w:type="auto"/>
            <w:vAlign w:val="center"/>
          </w:tcPr>
          <w:p>
            <w:pPr>
              <w:rPr>
                <w:rFonts w:asciiTheme="minorEastAsia" w:hAnsiTheme="minorEastAsia" w:eastAsiaTheme="minorEastAsia"/>
                <w:szCs w:val="24"/>
              </w:rPr>
            </w:pPr>
            <w:r>
              <w:rPr>
                <w:rFonts w:hint="eastAsia" w:asciiTheme="minorEastAsia" w:hAnsiTheme="minorEastAsia" w:eastAsiaTheme="minorEastAsia"/>
                <w:szCs w:val="24"/>
              </w:rPr>
              <w:t>职业健康安全事务代表</w:t>
            </w:r>
            <w:r>
              <w:rPr>
                <w:rFonts w:hint="eastAsia" w:asciiTheme="minorEastAsia" w:hAnsiTheme="minorEastAsia" w:eastAsiaTheme="minorEastAsia"/>
                <w:szCs w:val="24"/>
                <w:lang w:val="en-US" w:eastAsia="zh-CN"/>
              </w:rPr>
              <w:t>未变化</w:t>
            </w:r>
            <w:r>
              <w:rPr>
                <w:rFonts w:hint="eastAsia" w:asciiTheme="minorEastAsia" w:hAnsiTheme="minorEastAsia" w:eastAsiaTheme="minorEastAsia"/>
                <w:szCs w:val="24"/>
              </w:rPr>
              <w:t>，主要职责</w:t>
            </w:r>
            <w:r>
              <w:rPr>
                <w:rFonts w:hint="eastAsia" w:asciiTheme="minorEastAsia" w:hAnsiTheme="minorEastAsia" w:eastAsiaTheme="minorEastAsia"/>
                <w:szCs w:val="24"/>
                <w:lang w:val="en-US" w:eastAsia="zh-CN"/>
              </w:rPr>
              <w:t>也未变化</w:t>
            </w:r>
            <w:r>
              <w:rPr>
                <w:rFonts w:hint="eastAsia" w:asciiTheme="minorEastAsia" w:hAnsiTheme="minorEastAsia" w:eastAsiaTheme="minorEastAsia"/>
                <w:szCs w:val="24"/>
              </w:rPr>
              <w:t>。</w:t>
            </w:r>
          </w:p>
          <w:p>
            <w:pP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公司福利待遇正常发放，员工无抱怨，目前信息交流机制畅通。</w:t>
            </w:r>
          </w:p>
        </w:tc>
        <w:tc>
          <w:tcPr>
            <w:tcW w:w="0" w:type="auto"/>
          </w:tcP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0"/>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03F96"/>
    <w:rsid w:val="000170BD"/>
    <w:rsid w:val="000345CC"/>
    <w:rsid w:val="00053018"/>
    <w:rsid w:val="00065D97"/>
    <w:rsid w:val="00077C88"/>
    <w:rsid w:val="000A75BA"/>
    <w:rsid w:val="000B0CD5"/>
    <w:rsid w:val="000B6409"/>
    <w:rsid w:val="000D0735"/>
    <w:rsid w:val="000F14E3"/>
    <w:rsid w:val="00107007"/>
    <w:rsid w:val="00115E0C"/>
    <w:rsid w:val="001311B9"/>
    <w:rsid w:val="001328CC"/>
    <w:rsid w:val="00140940"/>
    <w:rsid w:val="0018254F"/>
    <w:rsid w:val="001903B6"/>
    <w:rsid w:val="001937C7"/>
    <w:rsid w:val="001B21BB"/>
    <w:rsid w:val="001C57A3"/>
    <w:rsid w:val="001E4CB1"/>
    <w:rsid w:val="001F5453"/>
    <w:rsid w:val="00242225"/>
    <w:rsid w:val="00250001"/>
    <w:rsid w:val="002533F4"/>
    <w:rsid w:val="00287457"/>
    <w:rsid w:val="002E29A0"/>
    <w:rsid w:val="0032647E"/>
    <w:rsid w:val="003445A0"/>
    <w:rsid w:val="00351857"/>
    <w:rsid w:val="00363176"/>
    <w:rsid w:val="00382525"/>
    <w:rsid w:val="00384D81"/>
    <w:rsid w:val="003A4ADC"/>
    <w:rsid w:val="003A65C9"/>
    <w:rsid w:val="003B4D38"/>
    <w:rsid w:val="003C254E"/>
    <w:rsid w:val="003C29F6"/>
    <w:rsid w:val="00421FB9"/>
    <w:rsid w:val="004450A7"/>
    <w:rsid w:val="0047490C"/>
    <w:rsid w:val="004819AB"/>
    <w:rsid w:val="00487025"/>
    <w:rsid w:val="004A00EE"/>
    <w:rsid w:val="004D14C1"/>
    <w:rsid w:val="004D6FC5"/>
    <w:rsid w:val="004E7665"/>
    <w:rsid w:val="00503F34"/>
    <w:rsid w:val="005074C4"/>
    <w:rsid w:val="005077B3"/>
    <w:rsid w:val="00507E17"/>
    <w:rsid w:val="00517BB1"/>
    <w:rsid w:val="00532DE5"/>
    <w:rsid w:val="00567182"/>
    <w:rsid w:val="00580C0C"/>
    <w:rsid w:val="005A009F"/>
    <w:rsid w:val="005A23B2"/>
    <w:rsid w:val="005D2531"/>
    <w:rsid w:val="00621EA2"/>
    <w:rsid w:val="00623DCF"/>
    <w:rsid w:val="006462B7"/>
    <w:rsid w:val="00646303"/>
    <w:rsid w:val="00672093"/>
    <w:rsid w:val="006842EC"/>
    <w:rsid w:val="00684A39"/>
    <w:rsid w:val="006D3EF5"/>
    <w:rsid w:val="006D54AB"/>
    <w:rsid w:val="006F2650"/>
    <w:rsid w:val="00717956"/>
    <w:rsid w:val="007469D5"/>
    <w:rsid w:val="0075560B"/>
    <w:rsid w:val="00760235"/>
    <w:rsid w:val="00761387"/>
    <w:rsid w:val="00772C86"/>
    <w:rsid w:val="00774749"/>
    <w:rsid w:val="00774FF4"/>
    <w:rsid w:val="007861D2"/>
    <w:rsid w:val="00795F4D"/>
    <w:rsid w:val="007B4E33"/>
    <w:rsid w:val="007C5A7D"/>
    <w:rsid w:val="007D7980"/>
    <w:rsid w:val="007E6050"/>
    <w:rsid w:val="007F353E"/>
    <w:rsid w:val="00802295"/>
    <w:rsid w:val="00804D25"/>
    <w:rsid w:val="00814B16"/>
    <w:rsid w:val="00846A85"/>
    <w:rsid w:val="0085042B"/>
    <w:rsid w:val="00854F40"/>
    <w:rsid w:val="008631F9"/>
    <w:rsid w:val="008871B0"/>
    <w:rsid w:val="008A1509"/>
    <w:rsid w:val="008B3B2F"/>
    <w:rsid w:val="0090759C"/>
    <w:rsid w:val="0092791F"/>
    <w:rsid w:val="0095064F"/>
    <w:rsid w:val="00955C0E"/>
    <w:rsid w:val="00976860"/>
    <w:rsid w:val="0098154B"/>
    <w:rsid w:val="00982FBF"/>
    <w:rsid w:val="00991AEB"/>
    <w:rsid w:val="009A033E"/>
    <w:rsid w:val="009A2663"/>
    <w:rsid w:val="009B1072"/>
    <w:rsid w:val="009C4BAC"/>
    <w:rsid w:val="00A60B57"/>
    <w:rsid w:val="00A76F84"/>
    <w:rsid w:val="00A94706"/>
    <w:rsid w:val="00AE6698"/>
    <w:rsid w:val="00B02208"/>
    <w:rsid w:val="00B27709"/>
    <w:rsid w:val="00B361C1"/>
    <w:rsid w:val="00B528F5"/>
    <w:rsid w:val="00B611EA"/>
    <w:rsid w:val="00B6507C"/>
    <w:rsid w:val="00B87C75"/>
    <w:rsid w:val="00BB4EA2"/>
    <w:rsid w:val="00BD7D0A"/>
    <w:rsid w:val="00BF3FA7"/>
    <w:rsid w:val="00C10F32"/>
    <w:rsid w:val="00C22DE3"/>
    <w:rsid w:val="00C277AC"/>
    <w:rsid w:val="00C41F32"/>
    <w:rsid w:val="00C4272D"/>
    <w:rsid w:val="00C446C9"/>
    <w:rsid w:val="00C827AA"/>
    <w:rsid w:val="00CA1BE3"/>
    <w:rsid w:val="00CD58BC"/>
    <w:rsid w:val="00CE7D9A"/>
    <w:rsid w:val="00D05DB2"/>
    <w:rsid w:val="00D5135E"/>
    <w:rsid w:val="00D6037A"/>
    <w:rsid w:val="00D71D1E"/>
    <w:rsid w:val="00DE2FCE"/>
    <w:rsid w:val="00DF19AB"/>
    <w:rsid w:val="00E0114F"/>
    <w:rsid w:val="00E17655"/>
    <w:rsid w:val="00E24A7C"/>
    <w:rsid w:val="00E556FE"/>
    <w:rsid w:val="00E70A7E"/>
    <w:rsid w:val="00E8072F"/>
    <w:rsid w:val="00E944DC"/>
    <w:rsid w:val="00E97654"/>
    <w:rsid w:val="00EB18E7"/>
    <w:rsid w:val="00EB1A5C"/>
    <w:rsid w:val="00EB6AAC"/>
    <w:rsid w:val="00EC2FC9"/>
    <w:rsid w:val="00ED41DC"/>
    <w:rsid w:val="00EE2AA1"/>
    <w:rsid w:val="00EF7E6D"/>
    <w:rsid w:val="00F01F3E"/>
    <w:rsid w:val="00F13731"/>
    <w:rsid w:val="00F43CC1"/>
    <w:rsid w:val="00F5455B"/>
    <w:rsid w:val="00F57698"/>
    <w:rsid w:val="00F62C59"/>
    <w:rsid w:val="00FB5026"/>
    <w:rsid w:val="00FB6FAA"/>
    <w:rsid w:val="00FD4652"/>
    <w:rsid w:val="00FF0A51"/>
    <w:rsid w:val="12C7719E"/>
    <w:rsid w:val="19816D95"/>
    <w:rsid w:val="1A5E08CC"/>
    <w:rsid w:val="1FDC67E8"/>
    <w:rsid w:val="35A82113"/>
    <w:rsid w:val="4190592A"/>
    <w:rsid w:val="47141DD2"/>
    <w:rsid w:val="47A6232A"/>
    <w:rsid w:val="4A173A93"/>
    <w:rsid w:val="4A82507A"/>
    <w:rsid w:val="4AE01A97"/>
    <w:rsid w:val="4B452FE8"/>
    <w:rsid w:val="514C4C47"/>
    <w:rsid w:val="52797284"/>
    <w:rsid w:val="5BCF222A"/>
    <w:rsid w:val="5BEB3C56"/>
    <w:rsid w:val="64F12497"/>
    <w:rsid w:val="686F70D7"/>
    <w:rsid w:val="689C0889"/>
    <w:rsid w:val="6A9E0739"/>
    <w:rsid w:val="72F270C1"/>
    <w:rsid w:val="751B4ACA"/>
    <w:rsid w:val="76176F79"/>
    <w:rsid w:val="7A7362C2"/>
    <w:rsid w:val="7B4A47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Char"/>
    <w:basedOn w:val="1"/>
    <w:qFormat/>
    <w:uiPriority w:val="0"/>
    <w:rPr>
      <w:rFonts w:ascii="仿宋_GB2312" w:eastAsia="仿宋_GB2312"/>
      <w:b/>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1403</Words>
  <Characters>8000</Characters>
  <Lines>66</Lines>
  <Paragraphs>18</Paragraphs>
  <TotalTime>3</TotalTime>
  <ScaleCrop>false</ScaleCrop>
  <LinksUpToDate>false</LinksUpToDate>
  <CharactersWithSpaces>9385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2020-04-19T01:59:00Z</dcterms:created>
  <dc:creator>微软用户</dc:creator>
  <cp:lastModifiedBy>森林</cp:lastModifiedBy>
  <dcterms:modified xsi:type="dcterms:W3CDTF">2021-04-09T04:11:03Z</dcterms:modified>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CE901833BB8C4064A9E19060723ABA6E</vt:lpwstr>
  </property>
</Properties>
</file>