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5"/>
        <w:gridCol w:w="1175"/>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45" w:type="dxa"/>
            <w:vMerge w:val="restart"/>
            <w:vAlign w:val="center"/>
          </w:tcPr>
          <w:p>
            <w:pPr>
              <w:spacing w:before="120" w:line="360" w:lineRule="auto"/>
              <w:jc w:val="center"/>
              <w:rPr>
                <w:sz w:val="24"/>
                <w:szCs w:val="24"/>
              </w:rPr>
            </w:pPr>
            <w:r>
              <w:rPr>
                <w:rFonts w:hint="eastAsia"/>
                <w:sz w:val="24"/>
                <w:szCs w:val="24"/>
              </w:rPr>
              <w:t>过程与活动、</w:t>
            </w:r>
          </w:p>
          <w:p>
            <w:pPr>
              <w:spacing w:line="360" w:lineRule="auto"/>
              <w:jc w:val="center"/>
            </w:pPr>
            <w:r>
              <w:rPr>
                <w:rFonts w:hint="eastAsia"/>
                <w:sz w:val="24"/>
                <w:szCs w:val="24"/>
              </w:rPr>
              <w:t>抽样计划</w:t>
            </w:r>
          </w:p>
        </w:tc>
        <w:tc>
          <w:tcPr>
            <w:tcW w:w="1175" w:type="dxa"/>
            <w:vMerge w:val="restart"/>
            <w:vAlign w:val="center"/>
          </w:tcPr>
          <w:p>
            <w:pPr>
              <w:spacing w:line="360" w:lineRule="auto"/>
              <w:rPr>
                <w:sz w:val="24"/>
                <w:szCs w:val="24"/>
              </w:rPr>
            </w:pPr>
            <w:r>
              <w:rPr>
                <w:rFonts w:hint="eastAsia"/>
                <w:sz w:val="24"/>
                <w:szCs w:val="24"/>
              </w:rPr>
              <w:t>涉及</w:t>
            </w:r>
          </w:p>
          <w:p>
            <w:pPr>
              <w:spacing w:line="360" w:lineRule="auto"/>
            </w:pPr>
            <w:r>
              <w:rPr>
                <w:rFonts w:hint="eastAsia"/>
                <w:sz w:val="24"/>
                <w:szCs w:val="24"/>
              </w:rPr>
              <w:t>条款</w:t>
            </w:r>
          </w:p>
        </w:tc>
        <w:tc>
          <w:tcPr>
            <w:tcW w:w="10004" w:type="dxa"/>
            <w:vAlign w:val="center"/>
          </w:tcPr>
          <w:p>
            <w:pPr>
              <w:spacing w:line="360" w:lineRule="auto"/>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管理层/员工代表 </w:t>
            </w:r>
            <w:r>
              <w:rPr>
                <w:rFonts w:hint="eastAsia"/>
                <w:sz w:val="24"/>
                <w:szCs w:val="24"/>
              </w:rPr>
              <w:t>主管领导：</w:t>
            </w:r>
            <w:r>
              <w:rPr>
                <w:rFonts w:hint="eastAsia"/>
                <w:sz w:val="24"/>
                <w:szCs w:val="24"/>
                <w:lang w:val="en-US" w:eastAsia="zh-CN"/>
              </w:rPr>
              <w:t xml:space="preserve">蒋叶萍、洪荣军  </w:t>
            </w:r>
            <w:r>
              <w:rPr>
                <w:rFonts w:hint="eastAsia"/>
                <w:sz w:val="24"/>
                <w:szCs w:val="24"/>
              </w:rPr>
              <w:t>陪同人员：</w:t>
            </w:r>
            <w:r>
              <w:rPr>
                <w:rFonts w:hint="eastAsia"/>
                <w:sz w:val="24"/>
                <w:szCs w:val="24"/>
                <w:lang w:val="en-US" w:eastAsia="zh-CN"/>
              </w:rPr>
              <w:t>余竹青</w:t>
            </w:r>
          </w:p>
        </w:tc>
        <w:tc>
          <w:tcPr>
            <w:tcW w:w="1585" w:type="dxa"/>
            <w:vMerge w:val="restart"/>
            <w:vAlign w:val="center"/>
          </w:tcPr>
          <w:p>
            <w:pPr>
              <w:spacing w:line="36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45" w:type="dxa"/>
            <w:vMerge w:val="continue"/>
            <w:vAlign w:val="center"/>
          </w:tcPr>
          <w:p>
            <w:pPr>
              <w:spacing w:line="360" w:lineRule="auto"/>
            </w:pPr>
          </w:p>
        </w:tc>
        <w:tc>
          <w:tcPr>
            <w:tcW w:w="1175" w:type="dxa"/>
            <w:vMerge w:val="continue"/>
            <w:vAlign w:val="center"/>
          </w:tcPr>
          <w:p>
            <w:pPr>
              <w:spacing w:line="360" w:lineRule="auto"/>
            </w:pPr>
          </w:p>
        </w:tc>
        <w:tc>
          <w:tcPr>
            <w:tcW w:w="10004" w:type="dxa"/>
            <w:vAlign w:val="center"/>
          </w:tcPr>
          <w:p>
            <w:pPr>
              <w:spacing w:before="120" w:line="360" w:lineRule="auto"/>
              <w:rPr>
                <w:rFonts w:hint="default" w:eastAsia="宋体"/>
                <w:lang w:val="en-US" w:eastAsia="zh-CN"/>
              </w:rPr>
            </w:pPr>
            <w:r>
              <w:rPr>
                <w:rFonts w:hint="eastAsia"/>
                <w:sz w:val="24"/>
                <w:szCs w:val="24"/>
              </w:rPr>
              <w:t>审核员：</w:t>
            </w:r>
            <w:r>
              <w:rPr>
                <w:rFonts w:hint="eastAsia"/>
                <w:sz w:val="24"/>
                <w:szCs w:val="24"/>
                <w:lang w:val="en-US" w:eastAsia="zh-CN"/>
              </w:rPr>
              <w:t xml:space="preserve">褚敏杰 章淑薇       </w:t>
            </w:r>
            <w:r>
              <w:rPr>
                <w:rFonts w:hint="eastAsia"/>
                <w:sz w:val="24"/>
                <w:szCs w:val="24"/>
              </w:rPr>
              <w:t>审核时间：</w:t>
            </w:r>
            <w:r>
              <w:rPr>
                <w:rFonts w:hint="eastAsia"/>
                <w:sz w:val="24"/>
                <w:szCs w:val="24"/>
                <w:lang w:val="en-US" w:eastAsia="zh-CN"/>
              </w:rPr>
              <w:t>2021.4.25</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45" w:type="dxa"/>
            <w:vMerge w:val="continue"/>
            <w:vAlign w:val="center"/>
          </w:tcPr>
          <w:p>
            <w:pPr>
              <w:spacing w:line="360" w:lineRule="auto"/>
            </w:pPr>
          </w:p>
        </w:tc>
        <w:tc>
          <w:tcPr>
            <w:tcW w:w="1175" w:type="dxa"/>
            <w:vMerge w:val="continue"/>
            <w:vAlign w:val="center"/>
          </w:tcPr>
          <w:p>
            <w:pPr>
              <w:spacing w:line="360" w:lineRule="auto"/>
            </w:pPr>
          </w:p>
        </w:tc>
        <w:tc>
          <w:tcPr>
            <w:tcW w:w="10004" w:type="dxa"/>
            <w:vAlign w:val="center"/>
          </w:tcPr>
          <w:p>
            <w:pPr>
              <w:spacing w:line="360" w:lineRule="auto"/>
              <w:rPr>
                <w:rFonts w:hint="eastAsia"/>
                <w:sz w:val="24"/>
                <w:szCs w:val="24"/>
              </w:rPr>
            </w:pPr>
            <w:r>
              <w:rPr>
                <w:rFonts w:hint="eastAsia"/>
                <w:sz w:val="24"/>
                <w:szCs w:val="24"/>
              </w:rPr>
              <w:t>审核条款：</w:t>
            </w:r>
          </w:p>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QEO:4.1理解组织及其环境、4.2理解相关方的需求和期望、4.3 确定管理体系的范围、4.4质量/环境/职业健康安全管理体系及其过程、5.1领导作用和承诺、5.2质量/环境/职业健康安全方针、5.3组织的岗位、职责和权限、O5.4协商与参与、6.1应对风险和机遇的措施、6.2质量/环境/职业健康安全目标及其实现的策划、Q6.3变更的策划、7.1.1（EO7.1）资源总则、7.4沟通/信息交流、9.3管理评审、10.1改进、10.3持续改进</w:t>
            </w:r>
          </w:p>
          <w:p>
            <w:pPr>
              <w:adjustRightInd w:val="0"/>
              <w:snapToGrid w:val="0"/>
              <w:spacing w:line="360" w:lineRule="auto"/>
              <w:ind w:right="105" w:rightChars="50"/>
              <w:textAlignment w:val="baseline"/>
              <w:rPr>
                <w:sz w:val="24"/>
                <w:szCs w:val="24"/>
              </w:rPr>
            </w:pPr>
            <w:r>
              <w:rPr>
                <w:rFonts w:hint="eastAsia" w:ascii="宋体" w:hAnsi="宋体" w:eastAsia="宋体" w:cs="Arial"/>
                <w:spacing w:val="-6"/>
                <w:sz w:val="21"/>
                <w:szCs w:val="21"/>
              </w:rPr>
              <w:t>国家/地方监督抽查情况；顾客满意、相关方投诉及处理情况；一阶段问题验证，验证企业相关资质证明的有效性；</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945"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rPr>
              <w:t>理解组织及其环境</w:t>
            </w:r>
          </w:p>
        </w:tc>
        <w:tc>
          <w:tcPr>
            <w:tcW w:w="1175"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rPr>
              <w:t>QEO:4.1</w:t>
            </w:r>
          </w:p>
        </w:tc>
        <w:tc>
          <w:tcPr>
            <w:tcW w:w="10004" w:type="dxa"/>
          </w:tcPr>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rPr>
              <w:t>杭州百诺电力科技有限公司成立</w:t>
            </w:r>
            <w:r>
              <w:rPr>
                <w:rFonts w:hint="eastAsia" w:ascii="宋体" w:hAnsi="宋体" w:cs="Arial"/>
                <w:color w:val="auto"/>
                <w:spacing w:val="-6"/>
                <w:sz w:val="21"/>
                <w:szCs w:val="21"/>
                <w:highlight w:val="none"/>
                <w:lang w:val="en-US" w:eastAsia="zh-CN"/>
              </w:rPr>
              <w:t>于</w:t>
            </w:r>
            <w:r>
              <w:rPr>
                <w:rFonts w:hint="eastAsia" w:ascii="宋体" w:hAnsi="宋体" w:eastAsia="宋体" w:cs="Arial"/>
                <w:color w:val="auto"/>
                <w:spacing w:val="-6"/>
                <w:sz w:val="21"/>
                <w:szCs w:val="21"/>
                <w:highlight w:val="none"/>
              </w:rPr>
              <w:t>20</w:t>
            </w:r>
            <w:r>
              <w:rPr>
                <w:rFonts w:hint="eastAsia" w:ascii="宋体" w:hAnsi="宋体" w:cs="Arial"/>
                <w:color w:val="auto"/>
                <w:spacing w:val="-6"/>
                <w:sz w:val="21"/>
                <w:szCs w:val="21"/>
                <w:highlight w:val="none"/>
                <w:lang w:val="en-US" w:eastAsia="zh-CN"/>
              </w:rPr>
              <w:t>09</w:t>
            </w:r>
            <w:r>
              <w:rPr>
                <w:rFonts w:hint="eastAsia" w:ascii="宋体" w:hAnsi="宋体" w:eastAsia="宋体" w:cs="Arial"/>
                <w:color w:val="auto"/>
                <w:spacing w:val="-6"/>
                <w:sz w:val="21"/>
                <w:szCs w:val="21"/>
                <w:highlight w:val="none"/>
              </w:rPr>
              <w:t>年</w:t>
            </w:r>
            <w:r>
              <w:rPr>
                <w:rFonts w:hint="eastAsia" w:ascii="宋体" w:hAnsi="宋体" w:cs="Arial"/>
                <w:color w:val="auto"/>
                <w:spacing w:val="-6"/>
                <w:sz w:val="21"/>
                <w:szCs w:val="21"/>
                <w:highlight w:val="none"/>
                <w:lang w:eastAsia="zh-CN"/>
              </w:rPr>
              <w:t>；</w:t>
            </w:r>
            <w:r>
              <w:rPr>
                <w:rFonts w:hint="eastAsia" w:ascii="宋体" w:hAnsi="宋体" w:eastAsia="宋体" w:cs="Arial"/>
                <w:color w:val="auto"/>
                <w:spacing w:val="-6"/>
                <w:sz w:val="21"/>
                <w:szCs w:val="21"/>
                <w:highlight w:val="none"/>
              </w:rPr>
              <w:t>位于杭州富阳区鹿山街道工业功能区四号路3号第1-3幢</w:t>
            </w:r>
            <w:r>
              <w:rPr>
                <w:rFonts w:hint="eastAsia" w:ascii="宋体" w:hAnsi="宋体" w:cs="Arial"/>
                <w:color w:val="auto"/>
                <w:spacing w:val="-6"/>
                <w:sz w:val="21"/>
                <w:szCs w:val="21"/>
                <w:highlight w:val="none"/>
                <w:lang w:val="en-US" w:eastAsia="zh-CN"/>
              </w:rPr>
              <w:t>.</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rPr>
            </w:pPr>
            <w:r>
              <w:rPr>
                <w:rFonts w:hint="eastAsia" w:ascii="宋体" w:hAnsi="宋体" w:eastAsia="宋体" w:cs="Arial"/>
                <w:color w:val="auto"/>
                <w:spacing w:val="-6"/>
                <w:sz w:val="21"/>
                <w:szCs w:val="21"/>
                <w:highlight w:val="none"/>
              </w:rPr>
              <w:t>公司注册资金501</w:t>
            </w:r>
            <w:r>
              <w:rPr>
                <w:rFonts w:hint="eastAsia" w:ascii="宋体" w:hAnsi="宋体" w:cs="Arial"/>
                <w:color w:val="auto"/>
                <w:spacing w:val="-6"/>
                <w:sz w:val="21"/>
                <w:szCs w:val="21"/>
                <w:highlight w:val="none"/>
                <w:lang w:val="en-US" w:eastAsia="zh-CN"/>
              </w:rPr>
              <w:t>8</w:t>
            </w:r>
            <w:r>
              <w:rPr>
                <w:rFonts w:hint="eastAsia" w:ascii="宋体" w:hAnsi="宋体" w:eastAsia="宋体" w:cs="Arial"/>
                <w:color w:val="auto"/>
                <w:spacing w:val="-6"/>
                <w:sz w:val="21"/>
                <w:szCs w:val="21"/>
                <w:highlight w:val="none"/>
              </w:rPr>
              <w:t>万，主要产品有通信管道、电力管道(非开挖电力管道、 PVC电力管道)、玻璃钢管道、PE缠绕管的生产。</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公司现有员工30余人，主要设备有高速混料机、锥形双螺杆塑料挤出机、超锥形双螺杆挤出机、微型控制缠绕机等；</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主要检测设备包括：巴氏硬度计、电子拉力试验机、电子天平、管材落锤冲击试验机、熔体流动速率仪、热变形维卡软化点温度测定仪、温湿度计等；</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rPr>
            </w:pPr>
            <w:r>
              <w:rPr>
                <w:rFonts w:hint="eastAsia" w:ascii="宋体" w:hAnsi="宋体" w:eastAsia="宋体" w:cs="Arial"/>
                <w:color w:val="auto"/>
                <w:spacing w:val="-6"/>
                <w:sz w:val="21"/>
                <w:szCs w:val="21"/>
                <w:highlight w:val="none"/>
              </w:rPr>
              <w:t>公司</w:t>
            </w:r>
            <w:r>
              <w:rPr>
                <w:rFonts w:hint="eastAsia" w:ascii="宋体" w:hAnsi="宋体" w:cs="Arial"/>
                <w:color w:val="auto"/>
                <w:spacing w:val="-6"/>
                <w:sz w:val="21"/>
                <w:szCs w:val="21"/>
                <w:highlight w:val="none"/>
                <w:lang w:val="en-US" w:eastAsia="zh-CN"/>
              </w:rPr>
              <w:t>设置</w:t>
            </w:r>
            <w:r>
              <w:rPr>
                <w:rFonts w:hint="eastAsia" w:ascii="宋体" w:hAnsi="宋体" w:eastAsia="宋体" w:cs="Arial"/>
                <w:color w:val="auto"/>
                <w:spacing w:val="-6"/>
                <w:sz w:val="21"/>
                <w:szCs w:val="21"/>
                <w:highlight w:val="none"/>
              </w:rPr>
              <w:t>有</w:t>
            </w:r>
            <w:r>
              <w:rPr>
                <w:rFonts w:hint="eastAsia" w:ascii="宋体" w:hAnsi="宋体" w:cs="Arial"/>
                <w:color w:val="auto"/>
                <w:spacing w:val="-6"/>
                <w:sz w:val="21"/>
                <w:szCs w:val="21"/>
                <w:highlight w:val="none"/>
                <w:lang w:val="en-US" w:eastAsia="zh-CN"/>
              </w:rPr>
              <w:t>行政部、生产部、质检部、销售部、采购部、财务部</w:t>
            </w:r>
            <w:r>
              <w:rPr>
                <w:rFonts w:hint="eastAsia" w:ascii="宋体" w:hAnsi="宋体" w:eastAsia="宋体" w:cs="Arial"/>
                <w:color w:val="auto"/>
                <w:spacing w:val="-6"/>
                <w:sz w:val="21"/>
                <w:szCs w:val="21"/>
                <w:highlight w:val="none"/>
              </w:rPr>
              <w:t>。</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eastAsia="zh-CN"/>
              </w:rPr>
            </w:pPr>
            <w:r>
              <w:rPr>
                <w:rFonts w:hint="eastAsia" w:ascii="宋体" w:hAnsi="宋体" w:cs="Arial"/>
                <w:color w:val="auto"/>
                <w:spacing w:val="-6"/>
                <w:sz w:val="21"/>
                <w:szCs w:val="21"/>
                <w:highlight w:val="none"/>
                <w:lang w:val="en-US" w:eastAsia="zh-CN"/>
              </w:rPr>
              <w:t>公司</w:t>
            </w:r>
            <w:r>
              <w:rPr>
                <w:rFonts w:hint="eastAsia" w:ascii="宋体" w:hAnsi="宋体" w:eastAsia="宋体" w:cs="Arial"/>
                <w:color w:val="auto"/>
                <w:spacing w:val="-6"/>
                <w:sz w:val="21"/>
                <w:szCs w:val="21"/>
                <w:highlight w:val="none"/>
              </w:rPr>
              <w:t>定期汇总分析市场情况，包括行业发展情况，相关企业产品分析，竞品分析，</w:t>
            </w:r>
            <w:r>
              <w:rPr>
                <w:rFonts w:hint="eastAsia" w:ascii="宋体" w:hAnsi="宋体" w:cs="Arial"/>
                <w:color w:val="auto"/>
                <w:spacing w:val="-6"/>
                <w:sz w:val="21"/>
                <w:szCs w:val="21"/>
                <w:highlight w:val="none"/>
              </w:rPr>
              <w:t>行业政策跟踪，以保证随时掌握行业及竞争企业的发展动态，为研发及业务拓展提供决策依据；确定与本公司管理目标和战略方向相关并影响实现管理体系预期结果的各种内部因素（公司的价值观、文化、知识、绩效等相关因素）和外部因素（国际、国家、地区和当地的各种法律法规、技术、竞争、文化和社会因素等）</w:t>
            </w:r>
            <w:r>
              <w:rPr>
                <w:rFonts w:hint="eastAsia" w:ascii="宋体" w:hAnsi="宋体" w:cs="Arial"/>
                <w:color w:val="auto"/>
                <w:spacing w:val="-6"/>
                <w:sz w:val="21"/>
                <w:szCs w:val="21"/>
                <w:highlight w:val="none"/>
                <w:lang w:eastAsia="zh-CN"/>
              </w:rPr>
              <w:t>，</w:t>
            </w:r>
            <w:r>
              <w:rPr>
                <w:rFonts w:hint="eastAsia" w:ascii="宋体" w:hAnsi="宋体" w:cs="Arial"/>
                <w:color w:val="auto"/>
                <w:spacing w:val="-6"/>
                <w:sz w:val="21"/>
                <w:szCs w:val="21"/>
                <w:highlight w:val="none"/>
              </w:rPr>
              <w:t>如</w:t>
            </w:r>
            <w:r>
              <w:rPr>
                <w:rFonts w:hint="eastAsia" w:ascii="宋体" w:hAnsi="宋体" w:cs="Arial"/>
                <w:color w:val="auto"/>
                <w:spacing w:val="-6"/>
                <w:sz w:val="21"/>
                <w:szCs w:val="21"/>
                <w:highlight w:val="none"/>
                <w:lang w:eastAsia="zh-CN"/>
              </w:rPr>
              <w:t>：</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外部因素——国际经济政治形势、材料价格变动、竞争对手、客户需求的变化、新技术的采用等；</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内部因素有-公司文化、内部管理机制的建立、人员稳定性、员工年龄、经验等；</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rPr>
            </w:pPr>
            <w:r>
              <w:rPr>
                <w:rFonts w:hint="eastAsia" w:ascii="宋体" w:hAnsi="宋体" w:eastAsia="宋体" w:cs="Arial"/>
                <w:color w:val="auto"/>
                <w:spacing w:val="-6"/>
                <w:sz w:val="21"/>
                <w:szCs w:val="21"/>
                <w:highlight w:val="none"/>
              </w:rPr>
              <w:t>这些因素包括了需要考虑的正面和负面因素或条件。</w:t>
            </w:r>
          </w:p>
          <w:p>
            <w:pPr>
              <w:adjustRightInd w:val="0"/>
              <w:snapToGrid w:val="0"/>
              <w:spacing w:line="360" w:lineRule="auto"/>
              <w:ind w:right="105" w:rightChars="50" w:firstLine="396" w:firstLineChars="200"/>
              <w:textAlignment w:val="baseline"/>
              <w:rPr>
                <w:rFonts w:hint="eastAsia"/>
                <w:highlight w:val="none"/>
              </w:rPr>
            </w:pPr>
            <w:r>
              <w:rPr>
                <w:rFonts w:hint="eastAsia" w:ascii="宋体" w:hAnsi="宋体" w:eastAsia="宋体" w:cs="Arial"/>
                <w:color w:val="auto"/>
                <w:spacing w:val="-6"/>
                <w:sz w:val="21"/>
                <w:szCs w:val="21"/>
                <w:highlight w:val="none"/>
              </w:rPr>
              <w:t>公司每年根据公司销售人员从市场、客户、网络等搜集到的信息并结合公司自身业务运作情况进行分析，通过分析对这些内部和外部因素的相关信息进行监视和评审以确保其充分和适宜。</w:t>
            </w:r>
          </w:p>
        </w:tc>
        <w:tc>
          <w:tcPr>
            <w:tcW w:w="1585" w:type="dxa"/>
          </w:tcPr>
          <w:p>
            <w:pPr>
              <w:spacing w:line="360" w:lineRule="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45"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理解相关方的需求和期望</w:t>
            </w:r>
          </w:p>
        </w:tc>
        <w:tc>
          <w:tcPr>
            <w:tcW w:w="1175"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lang w:val="en-US" w:eastAsia="zh-CN"/>
              </w:rPr>
              <w:t>QEO:</w:t>
            </w:r>
            <w:r>
              <w:rPr>
                <w:rFonts w:hint="eastAsia" w:ascii="宋体" w:hAnsi="宋体" w:eastAsia="宋体" w:cs="Arial"/>
                <w:spacing w:val="-6"/>
                <w:sz w:val="21"/>
                <w:szCs w:val="21"/>
              </w:rPr>
              <w:t>4.2</w:t>
            </w:r>
          </w:p>
        </w:tc>
        <w:tc>
          <w:tcPr>
            <w:tcW w:w="10004" w:type="dxa"/>
          </w:tcPr>
          <w:p>
            <w:pPr>
              <w:spacing w:line="360" w:lineRule="auto"/>
              <w:ind w:firstLine="420" w:firstLineChars="200"/>
              <w:rPr>
                <w:rFonts w:hint="eastAsia"/>
                <w:color w:val="auto"/>
                <w:lang w:val="en-US" w:eastAsia="zh-CN"/>
              </w:rPr>
            </w:pPr>
            <w:r>
              <w:rPr>
                <w:rFonts w:hint="eastAsia"/>
                <w:color w:val="auto"/>
                <w:lang w:val="en-US" w:eastAsia="zh-CN"/>
              </w:rPr>
              <w:t>保留“</w:t>
            </w:r>
            <w:r>
              <w:rPr>
                <w:rFonts w:hint="eastAsia"/>
                <w:color w:val="auto"/>
              </w:rPr>
              <w:t>相关方期望或要求识别表</w:t>
            </w:r>
            <w:r>
              <w:rPr>
                <w:rFonts w:hint="eastAsia"/>
                <w:color w:val="auto"/>
                <w:lang w:eastAsia="zh-CN"/>
              </w:rPr>
              <w:t>”，</w:t>
            </w:r>
            <w:r>
              <w:rPr>
                <w:rFonts w:hint="eastAsia"/>
                <w:color w:val="auto"/>
                <w:lang w:val="en-US" w:eastAsia="zh-CN"/>
              </w:rPr>
              <w:t>公司内外部相关方包括：</w:t>
            </w:r>
            <w:r>
              <w:rPr>
                <w:rFonts w:hint="eastAsia"/>
                <w:color w:val="auto"/>
              </w:rPr>
              <w:t>顾客/最终消费者</w:t>
            </w:r>
            <w:r>
              <w:rPr>
                <w:rFonts w:hint="eastAsia"/>
                <w:color w:val="auto"/>
                <w:lang w:eastAsia="zh-CN"/>
              </w:rPr>
              <w:t>、</w:t>
            </w:r>
            <w:r>
              <w:rPr>
                <w:rFonts w:hint="eastAsia"/>
                <w:color w:val="auto"/>
              </w:rPr>
              <w:t>员工</w:t>
            </w:r>
            <w:r>
              <w:rPr>
                <w:rFonts w:hint="eastAsia"/>
                <w:color w:val="auto"/>
                <w:lang w:eastAsia="zh-CN"/>
              </w:rPr>
              <w:t>、</w:t>
            </w:r>
            <w:r>
              <w:rPr>
                <w:rFonts w:hint="eastAsia"/>
                <w:color w:val="auto"/>
              </w:rPr>
              <w:t>政府</w:t>
            </w:r>
            <w:r>
              <w:rPr>
                <w:rFonts w:hint="eastAsia"/>
                <w:color w:val="auto"/>
                <w:lang w:eastAsia="zh-CN"/>
              </w:rPr>
              <w:t>、</w:t>
            </w:r>
            <w:r>
              <w:rPr>
                <w:rFonts w:hint="eastAsia"/>
                <w:color w:val="auto"/>
              </w:rPr>
              <w:t>外部供方</w:t>
            </w:r>
            <w:r>
              <w:rPr>
                <w:rFonts w:hint="eastAsia"/>
                <w:color w:val="auto"/>
                <w:lang w:eastAsia="zh-CN"/>
              </w:rPr>
              <w:t>、</w:t>
            </w:r>
            <w:r>
              <w:rPr>
                <w:rFonts w:hint="eastAsia"/>
                <w:color w:val="auto"/>
              </w:rPr>
              <w:t>竞争对手</w:t>
            </w:r>
            <w:r>
              <w:rPr>
                <w:rFonts w:hint="eastAsia"/>
                <w:color w:val="auto"/>
                <w:lang w:eastAsia="zh-CN"/>
              </w:rPr>
              <w:t>、</w:t>
            </w:r>
            <w:r>
              <w:rPr>
                <w:rFonts w:hint="eastAsia"/>
                <w:color w:val="auto"/>
              </w:rPr>
              <w:t>社会相邻单位</w:t>
            </w:r>
            <w:r>
              <w:rPr>
                <w:rFonts w:hint="eastAsia"/>
                <w:color w:val="auto"/>
                <w:lang w:val="en-US" w:eastAsia="zh-CN"/>
              </w:rPr>
              <w:t>等；</w:t>
            </w:r>
          </w:p>
          <w:p>
            <w:pPr>
              <w:spacing w:line="360" w:lineRule="auto"/>
              <w:ind w:firstLine="420" w:firstLineChars="200"/>
              <w:rPr>
                <w:rFonts w:hint="eastAsia"/>
                <w:color w:val="auto"/>
                <w:lang w:val="en-US" w:eastAsia="zh-CN"/>
              </w:rPr>
            </w:pPr>
            <w:r>
              <w:rPr>
                <w:rFonts w:hint="eastAsia"/>
                <w:color w:val="auto"/>
                <w:lang w:val="en-US" w:eastAsia="zh-CN"/>
              </w:rPr>
              <w:t>清单中明确了相关方要求与期望、监测指标或项目、监测频率、监测部门等。</w:t>
            </w:r>
          </w:p>
          <w:p>
            <w:pPr>
              <w:spacing w:line="360" w:lineRule="auto"/>
              <w:ind w:firstLine="420" w:firstLineChars="200"/>
              <w:rPr>
                <w:rFonts w:hint="default" w:eastAsia="宋体"/>
                <w:lang w:val="en-US" w:eastAsia="zh-CN"/>
              </w:rPr>
            </w:pPr>
            <w:r>
              <w:rPr>
                <w:rFonts w:hint="eastAsia"/>
                <w:color w:val="auto"/>
                <w:lang w:val="en-US" w:eastAsia="zh-CN"/>
              </w:rPr>
              <w:t>基本符合。</w:t>
            </w:r>
          </w:p>
        </w:tc>
        <w:tc>
          <w:tcPr>
            <w:tcW w:w="1585" w:type="dxa"/>
          </w:tcPr>
          <w:p>
            <w:pPr>
              <w:spacing w:line="360" w:lineRule="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1945"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应对风险和机遇的措施</w:t>
            </w:r>
          </w:p>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确定管理体系的范围</w:t>
            </w:r>
          </w:p>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质量/环境管理体系及其过程</w:t>
            </w:r>
          </w:p>
          <w:p>
            <w:pPr>
              <w:adjustRightInd w:val="0"/>
              <w:snapToGrid w:val="0"/>
              <w:spacing w:line="360" w:lineRule="auto"/>
              <w:ind w:right="105" w:rightChars="5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8.3删减合理性</w:t>
            </w:r>
          </w:p>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default" w:ascii="宋体" w:hAnsi="宋体" w:eastAsia="宋体" w:cs="Arial"/>
                <w:spacing w:val="-6"/>
                <w:sz w:val="21"/>
                <w:szCs w:val="21"/>
                <w:lang w:val="en-US" w:eastAsia="zh-CN"/>
              </w:rPr>
              <w:t>变更的策划</w:t>
            </w:r>
          </w:p>
        </w:tc>
        <w:tc>
          <w:tcPr>
            <w:tcW w:w="1175" w:type="dxa"/>
            <w:vAlign w:val="top"/>
          </w:tcPr>
          <w:p>
            <w:pPr>
              <w:adjustRightInd w:val="0"/>
              <w:snapToGrid w:val="0"/>
              <w:spacing w:line="360" w:lineRule="auto"/>
              <w:ind w:right="105" w:rightChars="50"/>
              <w:textAlignment w:val="baseline"/>
              <w:rPr>
                <w:rFonts w:hint="default"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QEO:6.1</w:t>
            </w:r>
          </w:p>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4.3</w:t>
            </w:r>
          </w:p>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4.4</w:t>
            </w:r>
          </w:p>
          <w:p>
            <w:pPr>
              <w:adjustRightInd w:val="0"/>
              <w:snapToGrid w:val="0"/>
              <w:spacing w:line="360" w:lineRule="auto"/>
              <w:ind w:right="105" w:rightChars="5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Q:8.3</w:t>
            </w:r>
          </w:p>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lang w:val="en-US" w:eastAsia="zh-CN"/>
              </w:rPr>
              <w:t>6.3</w:t>
            </w:r>
          </w:p>
        </w:tc>
        <w:tc>
          <w:tcPr>
            <w:tcW w:w="10004" w:type="dxa"/>
          </w:tcPr>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公司基于对4.1和4.2的考虑，分析了存在的风险和机遇：</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rPr>
            </w:pPr>
            <w:r>
              <w:rPr>
                <w:rFonts w:hint="eastAsia" w:ascii="宋体" w:hAnsi="宋体" w:cs="Arial"/>
                <w:color w:val="auto"/>
                <w:spacing w:val="-6"/>
                <w:sz w:val="21"/>
                <w:szCs w:val="21"/>
                <w:highlight w:val="none"/>
                <w:lang w:val="en-US" w:eastAsia="zh-CN"/>
              </w:rPr>
              <w:t>存在的机遇：国家整体经济的发展要求对整个行业的发展总体是利好；公司在行业内从业十几年，有着良好的口碑；给公司的发展带来了机遇</w:t>
            </w:r>
            <w:r>
              <w:rPr>
                <w:rFonts w:hint="eastAsia" w:ascii="宋体" w:hAnsi="宋体" w:cs="Arial"/>
                <w:color w:val="auto"/>
                <w:spacing w:val="-6"/>
                <w:sz w:val="21"/>
                <w:szCs w:val="21"/>
                <w:highlight w:val="none"/>
              </w:rPr>
              <w:t>。</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rPr>
            </w:pPr>
            <w:r>
              <w:rPr>
                <w:rFonts w:hint="eastAsia" w:ascii="宋体" w:hAnsi="宋体" w:cs="Arial"/>
                <w:color w:val="auto"/>
                <w:spacing w:val="-6"/>
                <w:sz w:val="21"/>
                <w:szCs w:val="21"/>
                <w:highlight w:val="none"/>
                <w:lang w:val="en-US" w:eastAsia="zh-CN"/>
              </w:rPr>
              <w:t>存在的风险：主要来自竞争对手的竞争，行业入门容易、技术含量低</w:t>
            </w:r>
            <w:r>
              <w:rPr>
                <w:rFonts w:hint="eastAsia" w:ascii="宋体" w:hAnsi="宋体" w:cs="Arial"/>
                <w:color w:val="auto"/>
                <w:spacing w:val="-6"/>
                <w:sz w:val="21"/>
                <w:szCs w:val="21"/>
                <w:highlight w:val="none"/>
                <w:lang w:eastAsia="zh-CN"/>
              </w:rPr>
              <w:t>；</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编制有《风险和机遇的应对控制程序》，对组织内外的风险和机遇进行了策划。</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重要环境因素：固废排放、潜在火灾、噪声排放、粉尘排放，基本合理。</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控制措施：一般固废集中收集外售；危废</w:t>
            </w:r>
            <w:r>
              <w:rPr>
                <w:rFonts w:hint="eastAsia" w:ascii="宋体" w:hAnsi="宋体" w:cs="Arial"/>
                <w:color w:val="auto"/>
                <w:spacing w:val="-6"/>
                <w:sz w:val="21"/>
                <w:szCs w:val="21"/>
                <w:lang w:val="en-US" w:eastAsia="zh-CN"/>
              </w:rPr>
              <w:t>由供应商带回以旧换新</w:t>
            </w:r>
            <w:r>
              <w:rPr>
                <w:rFonts w:hint="eastAsia" w:ascii="宋体" w:hAnsi="宋体" w:cs="Arial"/>
                <w:color w:val="auto"/>
                <w:spacing w:val="-6"/>
                <w:sz w:val="21"/>
                <w:szCs w:val="21"/>
              </w:rPr>
              <w:t>；采用吸声罩、减震垫、隔声门窗等消声、降噪措施，定期加强对设备操作的检查</w:t>
            </w:r>
            <w:r>
              <w:rPr>
                <w:rFonts w:hint="eastAsia" w:ascii="宋体" w:hAnsi="宋体" w:cs="Arial"/>
                <w:color w:val="auto"/>
                <w:spacing w:val="-6"/>
                <w:sz w:val="21"/>
                <w:szCs w:val="21"/>
                <w:lang w:eastAsia="zh-CN"/>
              </w:rPr>
              <w:t>；</w:t>
            </w:r>
            <w:r>
              <w:rPr>
                <w:rFonts w:hint="eastAsia" w:ascii="宋体" w:hAnsi="宋体"/>
                <w:szCs w:val="21"/>
              </w:rPr>
              <w:t>工作人员佩戴</w:t>
            </w:r>
            <w:r>
              <w:rPr>
                <w:rFonts w:hint="eastAsia" w:ascii="宋体" w:hAnsi="宋体"/>
                <w:szCs w:val="21"/>
                <w:lang w:val="en-US" w:eastAsia="zh-CN"/>
              </w:rPr>
              <w:t>防护用品、</w:t>
            </w:r>
            <w:r>
              <w:rPr>
                <w:rFonts w:hint="eastAsia" w:ascii="宋体" w:hAnsi="宋体"/>
                <w:szCs w:val="21"/>
              </w:rPr>
              <w:t>定期针对操作人员体检合格</w:t>
            </w:r>
            <w:r>
              <w:rPr>
                <w:rFonts w:hint="eastAsia" w:ascii="宋体" w:hAnsi="宋体"/>
                <w:szCs w:val="21"/>
                <w:lang w:eastAsia="zh-CN"/>
              </w:rPr>
              <w:t>；</w:t>
            </w:r>
            <w:r>
              <w:rPr>
                <w:rFonts w:hint="eastAsia" w:ascii="宋体" w:hAnsi="宋体" w:cs="Arial"/>
                <w:color w:val="auto"/>
                <w:spacing w:val="-6"/>
                <w:sz w:val="21"/>
                <w:szCs w:val="21"/>
              </w:rPr>
              <w:t>提高安全意识</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rPr>
              <w:t>做好火灾预防措施</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rPr>
              <w:t>应急预案。</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一旦发生按相关应急预案执行；制定目标、指标</w:t>
            </w:r>
            <w:r>
              <w:rPr>
                <w:rFonts w:hint="eastAsia" w:ascii="宋体" w:hAnsi="宋体" w:cs="Arial"/>
                <w:color w:val="auto"/>
                <w:spacing w:val="-6"/>
                <w:sz w:val="21"/>
                <w:szCs w:val="21"/>
                <w:lang w:val="en-US" w:eastAsia="zh-CN"/>
              </w:rPr>
              <w:t>和管理方案</w:t>
            </w:r>
            <w:r>
              <w:rPr>
                <w:rFonts w:hint="eastAsia" w:ascii="宋体" w:hAnsi="宋体" w:cs="Arial"/>
                <w:color w:val="auto"/>
                <w:spacing w:val="-6"/>
                <w:sz w:val="21"/>
                <w:szCs w:val="21"/>
              </w:rPr>
              <w:t>。</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rPr>
              <w:t>不可接受风险有：火灾触电事故、机械伤害、废气（粉尘）吸入、噪声伤害、高温灼伤、起重伤害、高空坠落等</w:t>
            </w:r>
            <w:r>
              <w:rPr>
                <w:rFonts w:hint="eastAsia" w:ascii="宋体" w:hAnsi="宋体" w:cs="Arial"/>
                <w:color w:val="auto"/>
                <w:spacing w:val="-6"/>
                <w:sz w:val="21"/>
                <w:szCs w:val="21"/>
                <w:lang w:val="en-US" w:eastAsia="zh-CN"/>
              </w:rPr>
              <w:t>；</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控制措施：提高安全意识，做好火灾预防措施</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lang w:val="en-US" w:eastAsia="zh-CN"/>
              </w:rPr>
              <w:t>运行控制、个体防护、</w:t>
            </w:r>
            <w:r>
              <w:rPr>
                <w:rFonts w:hint="eastAsia" w:ascii="宋体" w:hAnsi="宋体" w:cs="Arial"/>
                <w:color w:val="auto"/>
                <w:spacing w:val="-6"/>
                <w:sz w:val="21"/>
                <w:szCs w:val="21"/>
              </w:rPr>
              <w:t>应急预案。</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一旦发生按相关应急预案执行；制定目标、指标</w:t>
            </w:r>
            <w:r>
              <w:rPr>
                <w:rFonts w:hint="eastAsia" w:ascii="宋体" w:hAnsi="宋体" w:cs="Arial"/>
                <w:color w:val="auto"/>
                <w:spacing w:val="-6"/>
                <w:sz w:val="21"/>
                <w:szCs w:val="21"/>
                <w:lang w:val="en-US" w:eastAsia="zh-CN"/>
              </w:rPr>
              <w:t>和管理方案</w:t>
            </w:r>
            <w:r>
              <w:rPr>
                <w:rFonts w:hint="eastAsia" w:ascii="宋体" w:hAnsi="宋体" w:cs="Arial"/>
                <w:color w:val="auto"/>
                <w:spacing w:val="-6"/>
                <w:sz w:val="21"/>
                <w:szCs w:val="21"/>
              </w:rPr>
              <w:t>。</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为应对</w:t>
            </w:r>
            <w:r>
              <w:rPr>
                <w:rFonts w:hint="eastAsia" w:ascii="宋体" w:hAnsi="宋体" w:cs="Arial"/>
                <w:color w:val="auto"/>
                <w:spacing w:val="-6"/>
                <w:sz w:val="21"/>
                <w:szCs w:val="21"/>
                <w:lang w:val="en-US" w:eastAsia="zh-CN"/>
              </w:rPr>
              <w:t>上述</w:t>
            </w:r>
            <w:r>
              <w:rPr>
                <w:rFonts w:hint="eastAsia" w:ascii="宋体" w:hAnsi="宋体" w:cs="Arial"/>
                <w:color w:val="auto"/>
                <w:spacing w:val="-6"/>
                <w:sz w:val="21"/>
                <w:szCs w:val="21"/>
              </w:rPr>
              <w:t>的风险和机遇，公司依据ISO9001：2015、ISO14001：2015、ISO45001：2018标准的要求并结合本公司的具体情况，采取PDCA的过程方法，建立、实施、保持并持续改进质量、环境、职业健康安全管理体系。</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eastAsia="zh-CN"/>
              </w:rPr>
            </w:pPr>
            <w:r>
              <w:rPr>
                <w:rFonts w:hint="eastAsia" w:ascii="宋体" w:hAnsi="宋体" w:cs="Arial"/>
                <w:color w:val="auto"/>
                <w:spacing w:val="-6"/>
                <w:sz w:val="21"/>
                <w:szCs w:val="21"/>
                <w:lang w:val="en-US" w:eastAsia="zh-CN"/>
              </w:rPr>
              <w:t>保持</w:t>
            </w:r>
            <w:r>
              <w:rPr>
                <w:rFonts w:hint="eastAsia" w:ascii="宋体" w:hAnsi="宋体" w:cs="Arial"/>
                <w:color w:val="auto"/>
                <w:spacing w:val="-6"/>
                <w:sz w:val="21"/>
                <w:szCs w:val="21"/>
              </w:rPr>
              <w:t>《管理手册》A/1    实施日期：2019年12月15日</w:t>
            </w:r>
            <w:r>
              <w:rPr>
                <w:rFonts w:hint="eastAsia" w:ascii="宋体" w:hAnsi="宋体" w:cs="Arial"/>
                <w:color w:val="auto"/>
                <w:spacing w:val="-6"/>
                <w:sz w:val="21"/>
                <w:szCs w:val="21"/>
                <w:lang w:eastAsia="zh-CN"/>
              </w:rPr>
              <w:t>；</w:t>
            </w:r>
          </w:p>
          <w:p>
            <w:pPr>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lang w:val="en-US" w:eastAsia="zh-CN"/>
              </w:rPr>
            </w:pPr>
            <w:r>
              <w:rPr>
                <w:rFonts w:hint="eastAsia" w:ascii="宋体" w:hAnsi="宋体" w:cs="Arial"/>
                <w:color w:val="auto"/>
                <w:spacing w:val="-6"/>
                <w:sz w:val="21"/>
                <w:szCs w:val="21"/>
                <w:lang w:val="en-US" w:eastAsia="zh-CN"/>
              </w:rPr>
              <w:t>保持</w:t>
            </w:r>
            <w:r>
              <w:rPr>
                <w:rFonts w:hint="eastAsia" w:ascii="宋体" w:hAnsi="宋体" w:cs="Arial"/>
                <w:color w:val="auto"/>
                <w:spacing w:val="-6"/>
                <w:sz w:val="21"/>
                <w:szCs w:val="21"/>
              </w:rPr>
              <w:t>程序文件2</w:t>
            </w:r>
            <w:r>
              <w:rPr>
                <w:rFonts w:hint="eastAsia" w:ascii="宋体" w:hAnsi="宋体" w:cs="Arial"/>
                <w:color w:val="auto"/>
                <w:spacing w:val="-6"/>
                <w:sz w:val="21"/>
                <w:szCs w:val="21"/>
                <w:lang w:val="en-US" w:eastAsia="zh-CN"/>
              </w:rPr>
              <w:t>6</w:t>
            </w:r>
            <w:r>
              <w:rPr>
                <w:rFonts w:hint="eastAsia" w:ascii="宋体" w:hAnsi="宋体" w:cs="Arial"/>
                <w:color w:val="auto"/>
                <w:spacing w:val="-6"/>
                <w:sz w:val="21"/>
                <w:szCs w:val="21"/>
              </w:rPr>
              <w:t>个，版本号：A/</w:t>
            </w:r>
            <w:r>
              <w:rPr>
                <w:rFonts w:hint="eastAsia" w:ascii="宋体" w:hAnsi="宋体" w:cs="Arial"/>
                <w:color w:val="auto"/>
                <w:spacing w:val="-6"/>
                <w:sz w:val="21"/>
                <w:szCs w:val="21"/>
                <w:lang w:val="en-US" w:eastAsia="zh-CN"/>
              </w:rPr>
              <w:t>1</w:t>
            </w:r>
            <w:r>
              <w:rPr>
                <w:rFonts w:hint="eastAsia" w:ascii="宋体" w:hAnsi="宋体" w:cs="Arial"/>
                <w:color w:val="auto"/>
                <w:spacing w:val="-6"/>
                <w:sz w:val="21"/>
                <w:szCs w:val="21"/>
              </w:rPr>
              <w:t>；废弃物控制程序</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rPr>
              <w:t>噪声控制程序</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rPr>
              <w:t>消防控制程序</w:t>
            </w:r>
            <w:r>
              <w:rPr>
                <w:rFonts w:hint="eastAsia" w:ascii="宋体" w:hAnsi="宋体" w:cs="Arial"/>
                <w:color w:val="auto"/>
                <w:spacing w:val="-6"/>
                <w:sz w:val="21"/>
                <w:szCs w:val="21"/>
                <w:lang w:eastAsia="zh-CN"/>
              </w:rPr>
              <w:t>、顾客满意度控制程序、采购控制程序、销售和服务管理控制程序</w:t>
            </w:r>
            <w:r>
              <w:rPr>
                <w:rFonts w:hint="eastAsia" w:ascii="宋体" w:hAnsi="宋体" w:cs="Arial"/>
                <w:color w:val="auto"/>
                <w:spacing w:val="-6"/>
                <w:sz w:val="21"/>
                <w:szCs w:val="21"/>
                <w:lang w:val="en-US" w:eastAsia="zh-CN"/>
              </w:rPr>
              <w:t>等；</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生产工艺文件、试验检测管理制度、操作规程、试验标准、实验作业指导书等；</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建立有外来文件清单，收集地下通信管道用塑料管、电力电缆用导管技术条件、玻璃纤维增强塑料电缆导管、氯化聚氯乙烯及硬聚氯乙烯塑料电缆导管、纤维增强塑料用液体不饱和聚酯树脂、玻璃纤维无捻粗纱、热塑性塑料维卡软化温度(VST)的测定、纤维增强热固性塑料管平行板外载性能试验方法、纤维增强塑料管弯曲性能试验方法技术标准、规范等16个；</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lang w:val="en-US" w:eastAsia="zh-CN"/>
              </w:rPr>
              <w:t>文件化管理体系目前基本满足要求。</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本公司识别并确定了如下分工及过程：</w:t>
            </w:r>
            <w:r>
              <w:rPr>
                <w:rFonts w:hint="eastAsia" w:ascii="宋体" w:hAnsi="宋体" w:cs="Arial"/>
                <w:color w:val="auto"/>
                <w:spacing w:val="-6"/>
                <w:sz w:val="21"/>
                <w:szCs w:val="21"/>
                <w:lang w:val="en-US" w:eastAsia="zh-CN"/>
              </w:rPr>
              <w:t>生产过程、</w:t>
            </w:r>
            <w:r>
              <w:rPr>
                <w:rFonts w:hint="eastAsia" w:ascii="宋体" w:hAnsi="宋体" w:cs="Arial"/>
                <w:color w:val="auto"/>
                <w:spacing w:val="-6"/>
                <w:sz w:val="21"/>
                <w:szCs w:val="21"/>
              </w:rPr>
              <w:t>采购过程、销售过程、检验与交付过程、绩效分析、评价与改进等多个过程。</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rPr>
            </w:pPr>
            <w:r>
              <w:rPr>
                <w:rFonts w:hint="eastAsia" w:ascii="宋体" w:hAnsi="宋体" w:cs="Arial"/>
                <w:color w:val="auto"/>
                <w:spacing w:val="-6"/>
                <w:sz w:val="21"/>
                <w:szCs w:val="21"/>
                <w:highlight w:val="none"/>
                <w:lang w:val="en-US" w:eastAsia="zh-CN"/>
              </w:rPr>
              <w:t>业务</w:t>
            </w:r>
            <w:r>
              <w:rPr>
                <w:rFonts w:hint="eastAsia" w:ascii="宋体" w:hAnsi="宋体" w:cs="Arial"/>
                <w:color w:val="auto"/>
                <w:spacing w:val="-6"/>
                <w:sz w:val="21"/>
                <w:szCs w:val="21"/>
                <w:highlight w:val="none"/>
              </w:rPr>
              <w:t>流程如下：</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rPr>
            </w:pPr>
            <w:r>
              <w:rPr>
                <w:rFonts w:hint="eastAsia" w:ascii="宋体" w:hAnsi="宋体" w:cs="Arial"/>
                <w:color w:val="auto"/>
                <w:spacing w:val="-6"/>
                <w:sz w:val="21"/>
                <w:szCs w:val="21"/>
                <w:highlight w:val="none"/>
              </w:rPr>
              <w:t>通信管道、电力管道工艺：</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rPr>
            </w:pPr>
            <w:r>
              <w:rPr>
                <w:rFonts w:hint="eastAsia" w:ascii="宋体" w:hAnsi="宋体" w:cs="Arial"/>
                <w:color w:val="auto"/>
                <w:spacing w:val="-6"/>
                <w:sz w:val="21"/>
                <w:szCs w:val="21"/>
                <w:highlight w:val="none"/>
              </w:rPr>
              <w:t>混料—挤出—定型—定长—切割—检验—入库。 各种管材生产流程基本相同。</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rPr>
            </w:pP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rPr>
            </w:pPr>
            <w:r>
              <w:rPr>
                <w:rFonts w:hint="eastAsia" w:ascii="宋体" w:hAnsi="宋体" w:cs="Arial"/>
                <w:color w:val="auto"/>
                <w:spacing w:val="-6"/>
                <w:sz w:val="21"/>
                <w:szCs w:val="21"/>
                <w:highlight w:val="none"/>
              </w:rPr>
              <w:t>玻璃钢管道工艺：</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rPr>
            </w:pPr>
            <w:r>
              <w:rPr>
                <w:rFonts w:hint="eastAsia" w:ascii="宋体" w:hAnsi="宋体" w:cs="Arial"/>
                <w:color w:val="auto"/>
                <w:spacing w:val="-6"/>
                <w:sz w:val="21"/>
                <w:szCs w:val="21"/>
                <w:highlight w:val="none"/>
              </w:rPr>
              <w:t>上模—缠绕—加砂—缠绕—固化—脱模—修整—检验--入库</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PE缠绕管工艺：</w:t>
            </w:r>
          </w:p>
          <w:p>
            <w:pPr>
              <w:adjustRightInd w:val="0"/>
              <w:snapToGrid w:val="0"/>
              <w:spacing w:line="360" w:lineRule="auto"/>
              <w:ind w:right="105" w:rightChars="50" w:firstLine="420" w:firstLineChars="200"/>
              <w:textAlignment w:val="baseline"/>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PE缠绕管工艺：配料搅拌----加热融合----挤出定型----冷却定型----牵引移动----检验----缠绕----切割----入库。</w:t>
            </w:r>
          </w:p>
          <w:p>
            <w:pPr>
              <w:adjustRightInd w:val="0"/>
              <w:snapToGrid w:val="0"/>
              <w:spacing w:line="360" w:lineRule="auto"/>
              <w:ind w:right="105" w:rightChars="50" w:firstLine="420" w:firstLineChars="200"/>
              <w:textAlignment w:val="baseline"/>
              <w:rPr>
                <w:rFonts w:hint="eastAsia" w:asciiTheme="minorEastAsia" w:hAnsiTheme="minorEastAsia" w:eastAsiaTheme="minorEastAsia" w:cstheme="minorEastAsia"/>
                <w:highlight w:val="none"/>
                <w:lang w:val="en-US" w:eastAsia="zh-CN"/>
              </w:rPr>
            </w:pP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销售流程：</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顾客沟通—合同评审—合同/订单签订—产品采购—产品验证—交付—售后服务</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管理手册中</w:t>
            </w:r>
            <w:r>
              <w:rPr>
                <w:rFonts w:hint="eastAsia" w:ascii="宋体" w:hAnsi="宋体" w:cs="Arial"/>
                <w:color w:val="auto"/>
                <w:spacing w:val="-6"/>
                <w:sz w:val="21"/>
                <w:szCs w:val="21"/>
                <w:lang w:val="en-US" w:eastAsia="zh-CN"/>
              </w:rPr>
              <w:t>确定</w:t>
            </w:r>
            <w:r>
              <w:rPr>
                <w:rFonts w:hint="eastAsia" w:ascii="宋体" w:hAnsi="宋体" w:cs="Arial"/>
                <w:color w:val="auto"/>
                <w:spacing w:val="-6"/>
                <w:sz w:val="21"/>
                <w:szCs w:val="21"/>
              </w:rPr>
              <w:t>的认证范围：</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Q：通信管道、电力管道(非开挖电力管道、 PVC电力管道)、玻璃钢管道、PE缠绕管的生产及化粪池的销售及其所涉及的相关管理活动</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E：通信管道、电力管道(非开挖电力管道、 PVC电力管道)、玻璃钢管道、PE缠绕管的生产及化粪池的销售及其所涉及的相关环境管理活动</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O：通信管道、电力管道(非开挖电力管道、 PVC电力管道)、玻璃钢管道、PE缠绕管的生产及化粪池的销售及其所涉及的相关职业健康安全管理活动</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不适用条款：Q8.3。参照行业标准、企业规范及客户提供的尺寸要求转换为技术图纸、工艺要求组织生产，其生产过程不涉及GB/T19001-2016/ISO 9001：2015标准中8.3条款内容，其不适用的要求不影响组织确保其产品和服务合格的能力和责任，对增强顾客满意也不会产生影响。</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管理体系</w:t>
            </w:r>
            <w:r>
              <w:rPr>
                <w:rFonts w:hint="eastAsia" w:ascii="宋体" w:hAnsi="宋体" w:cs="Arial"/>
                <w:color w:val="auto"/>
                <w:spacing w:val="-6"/>
                <w:sz w:val="21"/>
                <w:szCs w:val="21"/>
                <w:lang w:val="en-US" w:eastAsia="zh-CN"/>
              </w:rPr>
              <w:t>建立以来无变更</w:t>
            </w:r>
            <w:r>
              <w:rPr>
                <w:rFonts w:hint="eastAsia" w:ascii="宋体" w:hAnsi="宋体" w:cs="Arial"/>
                <w:color w:val="auto"/>
                <w:spacing w:val="-6"/>
                <w:sz w:val="21"/>
                <w:szCs w:val="21"/>
              </w:rPr>
              <w:t>。</w:t>
            </w:r>
          </w:p>
          <w:p>
            <w:pPr>
              <w:adjustRightInd w:val="0"/>
              <w:snapToGrid w:val="0"/>
              <w:spacing w:line="360" w:lineRule="auto"/>
              <w:ind w:right="105" w:rightChars="50" w:firstLine="396" w:firstLineChars="200"/>
              <w:textAlignment w:val="baseline"/>
              <w:rPr>
                <w:color w:val="auto"/>
              </w:rPr>
            </w:pPr>
            <w:r>
              <w:rPr>
                <w:rFonts w:hint="eastAsia" w:ascii="宋体" w:hAnsi="宋体" w:cs="Arial"/>
                <w:color w:val="auto"/>
                <w:spacing w:val="-6"/>
                <w:sz w:val="21"/>
                <w:szCs w:val="21"/>
              </w:rPr>
              <w:t>基本合理。</w:t>
            </w:r>
          </w:p>
        </w:tc>
        <w:tc>
          <w:tcPr>
            <w:tcW w:w="1585" w:type="dxa"/>
          </w:tcPr>
          <w:p>
            <w:pPr>
              <w:spacing w:line="360" w:lineRule="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45"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质量/环境/职业健康方针</w:t>
            </w:r>
          </w:p>
          <w:p>
            <w:pPr>
              <w:adjustRightInd w:val="0"/>
              <w:snapToGrid w:val="0"/>
              <w:spacing w:line="360" w:lineRule="auto"/>
              <w:ind w:right="105" w:rightChars="50"/>
              <w:textAlignment w:val="baseline"/>
              <w:rPr>
                <w:rFonts w:hint="default" w:ascii="宋体" w:hAnsi="宋体" w:eastAsia="宋体" w:cs="Arial"/>
                <w:spacing w:val="-6"/>
                <w:sz w:val="21"/>
                <w:szCs w:val="21"/>
                <w:lang w:val="en-US" w:eastAsia="zh-CN"/>
              </w:rPr>
            </w:pPr>
            <w:r>
              <w:rPr>
                <w:rFonts w:hint="eastAsia" w:ascii="宋体" w:hAnsi="宋体" w:eastAsia="宋体" w:cs="Arial"/>
                <w:spacing w:val="-6"/>
                <w:sz w:val="21"/>
                <w:szCs w:val="21"/>
              </w:rPr>
              <w:t>质量/环境/职业健康安全目标及其实现的策划</w:t>
            </w:r>
          </w:p>
        </w:tc>
        <w:tc>
          <w:tcPr>
            <w:tcW w:w="1175"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lang w:val="en-US" w:eastAsia="zh-CN"/>
              </w:rPr>
              <w:t>QEO:</w:t>
            </w:r>
            <w:r>
              <w:rPr>
                <w:rFonts w:hint="eastAsia" w:ascii="宋体" w:hAnsi="宋体" w:eastAsia="宋体" w:cs="Arial"/>
                <w:spacing w:val="-6"/>
                <w:sz w:val="21"/>
                <w:szCs w:val="21"/>
              </w:rPr>
              <w:t>5.2</w:t>
            </w:r>
          </w:p>
          <w:p>
            <w:pPr>
              <w:adjustRightInd w:val="0"/>
              <w:snapToGrid w:val="0"/>
              <w:spacing w:line="360" w:lineRule="auto"/>
              <w:ind w:right="105" w:rightChars="5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QEO:</w:t>
            </w:r>
            <w:r>
              <w:rPr>
                <w:rFonts w:hint="eastAsia" w:ascii="宋体" w:hAnsi="宋体" w:eastAsia="宋体" w:cs="Arial"/>
                <w:spacing w:val="-6"/>
                <w:sz w:val="21"/>
                <w:szCs w:val="21"/>
              </w:rPr>
              <w:t>6.2</w:t>
            </w:r>
          </w:p>
        </w:tc>
        <w:tc>
          <w:tcPr>
            <w:tcW w:w="10004" w:type="dxa"/>
          </w:tcPr>
          <w:p>
            <w:pPr>
              <w:spacing w:line="360" w:lineRule="auto"/>
              <w:ind w:firstLine="420" w:firstLineChars="200"/>
              <w:rPr>
                <w:rFonts w:hint="eastAsia"/>
                <w:color w:val="auto"/>
              </w:rPr>
            </w:pPr>
            <w:r>
              <w:rPr>
                <w:rFonts w:hint="eastAsia"/>
                <w:color w:val="auto"/>
              </w:rPr>
              <w:t>《管理手册》中明确了公司的质量、环境、职业健康安全方针是：</w:t>
            </w:r>
          </w:p>
          <w:p>
            <w:pPr>
              <w:spacing w:line="360" w:lineRule="auto"/>
              <w:ind w:firstLine="420" w:firstLineChars="200"/>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1</w:t>
            </w:r>
            <w:r>
              <w:rPr>
                <w:rFonts w:hint="eastAsia" w:cs="Times New Roman"/>
                <w:color w:val="auto"/>
                <w:szCs w:val="22"/>
                <w:lang w:eastAsia="zh-CN"/>
              </w:rPr>
              <w:t>、</w:t>
            </w:r>
            <w:r>
              <w:rPr>
                <w:rFonts w:hint="eastAsia" w:ascii="Times New Roman" w:hAnsi="Times New Roman" w:eastAsia="宋体" w:cs="Times New Roman"/>
                <w:color w:val="auto"/>
                <w:szCs w:val="22"/>
              </w:rPr>
              <w:t>质量方针：</w:t>
            </w:r>
          </w:p>
          <w:p>
            <w:pPr>
              <w:spacing w:line="360" w:lineRule="auto"/>
              <w:ind w:firstLine="1260" w:firstLineChars="600"/>
              <w:rPr>
                <w:rFonts w:hint="eastAsia" w:ascii="Times New Roman" w:hAnsi="Times New Roman" w:eastAsia="宋体" w:cs="Times New Roman"/>
                <w:color w:val="auto"/>
                <w:szCs w:val="22"/>
                <w:lang w:eastAsia="zh-CN"/>
              </w:rPr>
            </w:pPr>
            <w:r>
              <w:rPr>
                <w:rFonts w:hint="eastAsia" w:ascii="Times New Roman" w:hAnsi="Times New Roman" w:eastAsia="宋体" w:cs="Times New Roman"/>
                <w:color w:val="auto"/>
                <w:szCs w:val="22"/>
              </w:rPr>
              <w:t>精益求精</w:t>
            </w:r>
            <w:r>
              <w:rPr>
                <w:rFonts w:hint="eastAsia" w:cs="Times New Roman"/>
                <w:color w:val="auto"/>
                <w:szCs w:val="22"/>
                <w:lang w:eastAsia="zh-CN"/>
              </w:rPr>
              <w:t>，</w:t>
            </w:r>
            <w:r>
              <w:rPr>
                <w:rFonts w:hint="eastAsia" w:ascii="Times New Roman" w:hAnsi="Times New Roman" w:eastAsia="宋体" w:cs="Times New Roman"/>
                <w:color w:val="auto"/>
                <w:szCs w:val="22"/>
              </w:rPr>
              <w:t>以优质的产品谋求企业发展</w:t>
            </w:r>
            <w:r>
              <w:rPr>
                <w:rFonts w:hint="eastAsia" w:cs="Times New Roman"/>
                <w:color w:val="auto"/>
                <w:szCs w:val="22"/>
                <w:lang w:eastAsia="zh-CN"/>
              </w:rPr>
              <w:t>；</w:t>
            </w:r>
          </w:p>
          <w:p>
            <w:pPr>
              <w:spacing w:line="360" w:lineRule="auto"/>
              <w:ind w:firstLine="420" w:firstLineChars="200"/>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 xml:space="preserve"> </w:t>
            </w:r>
            <w:r>
              <w:rPr>
                <w:rFonts w:hint="eastAsia" w:cs="Times New Roman"/>
                <w:color w:val="auto"/>
                <w:szCs w:val="22"/>
                <w:lang w:val="en-US" w:eastAsia="zh-CN"/>
              </w:rPr>
              <w:t xml:space="preserve">       </w:t>
            </w:r>
            <w:r>
              <w:rPr>
                <w:rFonts w:hint="eastAsia" w:ascii="Times New Roman" w:hAnsi="Times New Roman" w:eastAsia="宋体" w:cs="Times New Roman"/>
                <w:color w:val="auto"/>
                <w:szCs w:val="22"/>
              </w:rPr>
              <w:t>诚实守信</w:t>
            </w:r>
            <w:r>
              <w:rPr>
                <w:rFonts w:hint="eastAsia" w:cs="Times New Roman"/>
                <w:color w:val="auto"/>
                <w:szCs w:val="22"/>
                <w:lang w:eastAsia="zh-CN"/>
              </w:rPr>
              <w:t>，</w:t>
            </w:r>
            <w:r>
              <w:rPr>
                <w:rFonts w:hint="eastAsia" w:ascii="Times New Roman" w:hAnsi="Times New Roman" w:eastAsia="宋体" w:cs="Times New Roman"/>
                <w:color w:val="auto"/>
                <w:szCs w:val="22"/>
              </w:rPr>
              <w:t>以一流的服务赢得客户满意。</w:t>
            </w:r>
          </w:p>
          <w:p>
            <w:pPr>
              <w:spacing w:line="360" w:lineRule="auto"/>
              <w:ind w:firstLine="630" w:firstLineChars="300"/>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环境职业健康安全方针：</w:t>
            </w:r>
          </w:p>
          <w:p>
            <w:pPr>
              <w:spacing w:line="360" w:lineRule="auto"/>
              <w:ind w:firstLine="1260" w:firstLineChars="600"/>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遵纪守法，重视效益，防治污染，持续发展；</w:t>
            </w:r>
          </w:p>
          <w:p>
            <w:pPr>
              <w:spacing w:line="360" w:lineRule="auto"/>
              <w:ind w:firstLine="420" w:firstLineChars="200"/>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 xml:space="preserve">        以人为本，遵纪守法，预防危害，持续改进。</w:t>
            </w:r>
          </w:p>
          <w:p>
            <w:pPr>
              <w:spacing w:line="360" w:lineRule="auto"/>
              <w:ind w:firstLine="420" w:firstLineChars="200"/>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lang w:val="en-US" w:eastAsia="zh-CN"/>
              </w:rPr>
              <w:t>方针适宜于公司现状，在管理手册中明确，通过文件发放，</w:t>
            </w:r>
            <w:r>
              <w:rPr>
                <w:rFonts w:hint="eastAsia" w:cs="Times New Roman"/>
                <w:color w:val="auto"/>
                <w:szCs w:val="22"/>
                <w:lang w:val="en-US" w:eastAsia="zh-CN"/>
              </w:rPr>
              <w:t>使</w:t>
            </w:r>
            <w:r>
              <w:rPr>
                <w:rFonts w:hint="eastAsia" w:ascii="Times New Roman" w:hAnsi="Times New Roman" w:eastAsia="宋体" w:cs="Times New Roman"/>
                <w:color w:val="auto"/>
                <w:szCs w:val="22"/>
                <w:lang w:val="en-US" w:eastAsia="zh-CN"/>
              </w:rPr>
              <w:t>员工获知，适用时提供给相关方。并以方针为框架，建立了公司管理目标：</w:t>
            </w:r>
          </w:p>
          <w:p>
            <w:pPr>
              <w:spacing w:line="360" w:lineRule="auto"/>
              <w:ind w:firstLine="420" w:firstLineChars="200"/>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质量目标：</w:t>
            </w:r>
          </w:p>
          <w:p>
            <w:pPr>
              <w:spacing w:line="360" w:lineRule="auto"/>
              <w:ind w:firstLine="840" w:firstLineChars="400"/>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产品一次交验合格率≥97%；</w:t>
            </w:r>
          </w:p>
          <w:p>
            <w:pPr>
              <w:spacing w:line="360" w:lineRule="auto"/>
              <w:ind w:firstLine="420" w:firstLineChars="200"/>
              <w:rPr>
                <w:rFonts w:hint="eastAsia" w:ascii="Times New Roman" w:hAnsi="Times New Roman" w:eastAsia="宋体" w:cs="Times New Roman"/>
                <w:color w:val="auto"/>
                <w:szCs w:val="22"/>
                <w:lang w:eastAsia="zh-CN"/>
              </w:rPr>
            </w:pPr>
            <w:r>
              <w:rPr>
                <w:rFonts w:hint="eastAsia" w:ascii="Times New Roman" w:hAnsi="Times New Roman" w:eastAsia="宋体" w:cs="Times New Roman"/>
                <w:color w:val="auto"/>
                <w:szCs w:val="22"/>
              </w:rPr>
              <w:t xml:space="preserve">    客户满意度大于95分</w:t>
            </w:r>
            <w:r>
              <w:rPr>
                <w:rFonts w:hint="eastAsia" w:cs="Times New Roman"/>
                <w:color w:val="auto"/>
                <w:szCs w:val="22"/>
                <w:lang w:eastAsia="zh-CN"/>
              </w:rPr>
              <w:t>。</w:t>
            </w:r>
          </w:p>
          <w:p>
            <w:pPr>
              <w:spacing w:line="360" w:lineRule="auto"/>
              <w:ind w:firstLine="420" w:firstLineChars="200"/>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环境安全目标：</w:t>
            </w:r>
          </w:p>
          <w:p>
            <w:pPr>
              <w:spacing w:line="360" w:lineRule="auto"/>
              <w:ind w:firstLine="840" w:firstLineChars="400"/>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固体废弃物分类处置率100%；</w:t>
            </w:r>
          </w:p>
          <w:p>
            <w:pPr>
              <w:spacing w:line="360" w:lineRule="auto"/>
              <w:ind w:firstLine="840" w:firstLineChars="400"/>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噪声\粉尘达标排放；</w:t>
            </w:r>
          </w:p>
          <w:p>
            <w:pPr>
              <w:spacing w:line="360" w:lineRule="auto"/>
              <w:ind w:firstLine="840" w:firstLineChars="400"/>
              <w:rPr>
                <w:rFonts w:hint="eastAsia" w:cs="Times New Roman"/>
                <w:color w:val="auto"/>
                <w:szCs w:val="22"/>
                <w:lang w:eastAsia="zh-CN"/>
              </w:rPr>
            </w:pPr>
            <w:r>
              <w:rPr>
                <w:rFonts w:hint="eastAsia" w:ascii="Times New Roman" w:hAnsi="Times New Roman" w:eastAsia="宋体" w:cs="Times New Roman"/>
                <w:color w:val="auto"/>
                <w:szCs w:val="22"/>
              </w:rPr>
              <w:t>火灾事故为0</w:t>
            </w:r>
            <w:r>
              <w:rPr>
                <w:rFonts w:hint="eastAsia" w:cs="Times New Roman"/>
                <w:color w:val="auto"/>
                <w:szCs w:val="22"/>
                <w:lang w:eastAsia="zh-CN"/>
              </w:rPr>
              <w:t>；</w:t>
            </w:r>
          </w:p>
          <w:p>
            <w:pPr>
              <w:spacing w:line="360" w:lineRule="auto"/>
              <w:ind w:firstLine="840" w:firstLineChars="400"/>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触电事故为0；</w:t>
            </w:r>
          </w:p>
          <w:p>
            <w:pPr>
              <w:spacing w:line="360" w:lineRule="auto"/>
              <w:ind w:firstLine="840" w:firstLineChars="400"/>
              <w:rPr>
                <w:rFonts w:hint="eastAsia" w:ascii="Times New Roman" w:hAnsi="Times New Roman" w:eastAsia="宋体" w:cs="Times New Roman"/>
                <w:color w:val="auto"/>
                <w:szCs w:val="22"/>
                <w:lang w:eastAsia="zh-CN"/>
              </w:rPr>
            </w:pPr>
            <w:r>
              <w:rPr>
                <w:rFonts w:hint="eastAsia" w:ascii="Times New Roman" w:hAnsi="Times New Roman" w:eastAsia="宋体" w:cs="Times New Roman"/>
                <w:color w:val="auto"/>
                <w:szCs w:val="22"/>
              </w:rPr>
              <w:t>职业病发病率为0</w:t>
            </w:r>
            <w:r>
              <w:rPr>
                <w:rFonts w:hint="eastAsia" w:cs="Times New Roman"/>
                <w:color w:val="auto"/>
                <w:szCs w:val="22"/>
                <w:lang w:eastAsia="zh-CN"/>
              </w:rPr>
              <w:t>。</w:t>
            </w:r>
          </w:p>
          <w:p>
            <w:pPr>
              <w:spacing w:line="360" w:lineRule="auto"/>
              <w:ind w:firstLine="420" w:firstLineChars="200"/>
              <w:rPr>
                <w:rFonts w:hint="default" w:ascii="Times New Roman" w:hAnsi="Times New Roman" w:eastAsia="宋体" w:cs="Times New Roman"/>
                <w:color w:val="auto"/>
                <w:szCs w:val="22"/>
                <w:lang w:val="en-US" w:eastAsia="zh-CN"/>
              </w:rPr>
            </w:pPr>
            <w:r>
              <w:rPr>
                <w:rFonts w:hint="eastAsia" w:ascii="Times New Roman" w:hAnsi="Times New Roman" w:eastAsia="宋体" w:cs="Times New Roman"/>
                <w:color w:val="auto"/>
                <w:szCs w:val="22"/>
                <w:lang w:val="en-US" w:eastAsia="zh-CN"/>
              </w:rPr>
              <w:t>保留有</w:t>
            </w:r>
            <w:r>
              <w:rPr>
                <w:rFonts w:hint="default" w:ascii="Times New Roman" w:hAnsi="Times New Roman" w:eastAsia="宋体" w:cs="Times New Roman"/>
                <w:color w:val="auto"/>
                <w:szCs w:val="22"/>
                <w:lang w:val="en-US" w:eastAsia="zh-CN"/>
              </w:rPr>
              <w:t>公司的环境和安全管理方案和控制措施。基本符合。</w:t>
            </w:r>
          </w:p>
          <w:p>
            <w:pPr>
              <w:spacing w:line="360" w:lineRule="auto"/>
              <w:ind w:firstLine="396" w:firstLineChars="200"/>
              <w:rPr>
                <w:rFonts w:hint="eastAsia"/>
                <w:color w:val="auto"/>
              </w:rPr>
            </w:pPr>
            <w:r>
              <w:rPr>
                <w:rFonts w:hint="eastAsia" w:ascii="宋体" w:hAnsi="宋体" w:cs="Arial"/>
                <w:color w:val="auto"/>
                <w:spacing w:val="-6"/>
                <w:sz w:val="21"/>
                <w:szCs w:val="21"/>
                <w:lang w:val="en-US" w:eastAsia="zh-CN"/>
              </w:rPr>
              <w:t>保留“</w:t>
            </w:r>
            <w:r>
              <w:rPr>
                <w:rFonts w:hint="default" w:ascii="宋体" w:hAnsi="宋体" w:cs="Arial"/>
                <w:color w:val="auto"/>
                <w:spacing w:val="-6"/>
                <w:sz w:val="21"/>
                <w:szCs w:val="21"/>
                <w:lang w:val="en-US" w:eastAsia="zh-CN"/>
              </w:rPr>
              <w:t>质量\环境\职业健康安全目标分解考核表</w:t>
            </w:r>
            <w:r>
              <w:rPr>
                <w:rFonts w:hint="eastAsia" w:ascii="宋体" w:hAnsi="宋体" w:cs="Arial"/>
                <w:color w:val="auto"/>
                <w:spacing w:val="-6"/>
                <w:sz w:val="21"/>
                <w:szCs w:val="21"/>
                <w:lang w:val="en-US" w:eastAsia="zh-CN"/>
              </w:rPr>
              <w:t>”，</w:t>
            </w:r>
            <w:r>
              <w:rPr>
                <w:rFonts w:hint="default" w:ascii="宋体" w:hAnsi="宋体" w:cs="Arial"/>
                <w:color w:val="auto"/>
                <w:spacing w:val="-6"/>
                <w:sz w:val="21"/>
                <w:szCs w:val="21"/>
                <w:lang w:val="en-US" w:eastAsia="zh-CN"/>
              </w:rPr>
              <w:t>对管理目标</w:t>
            </w:r>
            <w:r>
              <w:rPr>
                <w:rFonts w:hint="eastAsia" w:ascii="宋体" w:hAnsi="宋体" w:cs="Arial"/>
                <w:color w:val="auto"/>
                <w:spacing w:val="-6"/>
                <w:sz w:val="21"/>
                <w:szCs w:val="21"/>
                <w:lang w:val="en-US" w:eastAsia="zh-CN"/>
              </w:rPr>
              <w:t>按照部门</w:t>
            </w:r>
            <w:r>
              <w:rPr>
                <w:rFonts w:hint="default" w:ascii="宋体" w:hAnsi="宋体" w:cs="Arial"/>
                <w:color w:val="auto"/>
                <w:spacing w:val="-6"/>
                <w:sz w:val="21"/>
                <w:szCs w:val="21"/>
                <w:lang w:val="en-US" w:eastAsia="zh-CN"/>
              </w:rPr>
              <w:t>进行了分解</w:t>
            </w:r>
            <w:r>
              <w:rPr>
                <w:rFonts w:hint="eastAsia" w:ascii="宋体" w:hAnsi="宋体" w:cs="Arial"/>
                <w:color w:val="auto"/>
                <w:spacing w:val="-6"/>
                <w:sz w:val="21"/>
                <w:szCs w:val="21"/>
                <w:lang w:val="en-US" w:eastAsia="zh-CN"/>
              </w:rPr>
              <w:t>；</w:t>
            </w:r>
            <w:r>
              <w:rPr>
                <w:rFonts w:hint="default" w:ascii="宋体" w:hAnsi="宋体" w:cs="Arial"/>
                <w:color w:val="auto"/>
                <w:spacing w:val="-6"/>
                <w:sz w:val="21"/>
                <w:szCs w:val="21"/>
                <w:lang w:val="en-US" w:eastAsia="zh-CN"/>
              </w:rPr>
              <w:t>2020年12月考核，显示目标均已全部完成。介绍说，公司对目标完成情况的考核周期为半年一次，今年的考核尚未进行。</w:t>
            </w:r>
          </w:p>
        </w:tc>
        <w:tc>
          <w:tcPr>
            <w:tcW w:w="1585" w:type="dxa"/>
          </w:tcPr>
          <w:p>
            <w:pPr>
              <w:spacing w:line="360" w:lineRule="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45" w:type="dxa"/>
            <w:vAlign w:val="top"/>
          </w:tcPr>
          <w:p>
            <w:pPr>
              <w:adjustRightInd w:val="0"/>
              <w:snapToGrid w:val="0"/>
              <w:spacing w:line="360" w:lineRule="auto"/>
              <w:ind w:right="105" w:rightChars="50"/>
              <w:textAlignment w:val="baseline"/>
              <w:rPr>
                <w:rFonts w:hint="default" w:ascii="宋体" w:hAnsi="宋体" w:eastAsia="宋体" w:cs="Arial"/>
                <w:spacing w:val="-6"/>
                <w:sz w:val="21"/>
                <w:szCs w:val="21"/>
                <w:lang w:val="en-US" w:eastAsia="zh-CN"/>
              </w:rPr>
            </w:pPr>
            <w:r>
              <w:rPr>
                <w:rFonts w:hint="eastAsia" w:ascii="宋体" w:hAnsi="宋体" w:eastAsia="宋体" w:cs="Arial"/>
                <w:spacing w:val="-6"/>
                <w:sz w:val="21"/>
                <w:szCs w:val="21"/>
              </w:rPr>
              <w:t>组织的岗位、职责和权限</w:t>
            </w:r>
          </w:p>
        </w:tc>
        <w:tc>
          <w:tcPr>
            <w:tcW w:w="1175" w:type="dxa"/>
            <w:vAlign w:val="top"/>
          </w:tcPr>
          <w:p>
            <w:pPr>
              <w:adjustRightInd w:val="0"/>
              <w:snapToGrid w:val="0"/>
              <w:spacing w:line="360" w:lineRule="auto"/>
              <w:ind w:right="105" w:rightChars="50"/>
              <w:jc w:val="center"/>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QEO:5.1</w:t>
            </w:r>
          </w:p>
          <w:p>
            <w:pPr>
              <w:adjustRightInd w:val="0"/>
              <w:snapToGrid w:val="0"/>
              <w:spacing w:line="360" w:lineRule="auto"/>
              <w:ind w:right="105" w:rightChars="50"/>
              <w:jc w:val="center"/>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rPr>
              <w:t>5.3</w:t>
            </w:r>
          </w:p>
        </w:tc>
        <w:tc>
          <w:tcPr>
            <w:tcW w:w="10004" w:type="dxa"/>
          </w:tcPr>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eastAsia="zh-CN"/>
              </w:rPr>
            </w:pPr>
            <w:r>
              <w:rPr>
                <w:rFonts w:hint="eastAsia" w:ascii="宋体" w:hAnsi="宋体" w:cs="Arial"/>
                <w:color w:val="auto"/>
                <w:spacing w:val="-6"/>
                <w:sz w:val="21"/>
                <w:szCs w:val="21"/>
              </w:rPr>
              <w:t>最高管理者</w:t>
            </w:r>
            <w:r>
              <w:rPr>
                <w:rFonts w:hint="eastAsia" w:ascii="宋体" w:hAnsi="宋体" w:cs="Arial"/>
                <w:color w:val="auto"/>
                <w:spacing w:val="-6"/>
                <w:sz w:val="21"/>
                <w:szCs w:val="21"/>
                <w:lang w:val="en-US" w:eastAsia="zh-CN"/>
              </w:rPr>
              <w:t>在管理手册中</w:t>
            </w:r>
            <w:r>
              <w:rPr>
                <w:rFonts w:hint="eastAsia" w:ascii="宋体" w:hAnsi="宋体" w:cs="Arial"/>
                <w:color w:val="auto"/>
                <w:spacing w:val="-6"/>
                <w:sz w:val="21"/>
                <w:szCs w:val="21"/>
              </w:rPr>
              <w:t>明确了各部门和各岗位的职责和权限，以确保管理体系符合各项标准的要求，并确保各个过程获得其预期输出</w:t>
            </w:r>
            <w:r>
              <w:rPr>
                <w:rFonts w:hint="eastAsia" w:ascii="宋体" w:hAnsi="宋体" w:cs="Arial"/>
                <w:color w:val="auto"/>
                <w:spacing w:val="-6"/>
                <w:sz w:val="21"/>
                <w:szCs w:val="21"/>
                <w:lang w:eastAsia="zh-CN"/>
              </w:rPr>
              <w:t>。</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lang w:val="en-US" w:eastAsia="zh-CN"/>
              </w:rPr>
              <w:t>经授权的分管领导</w:t>
            </w:r>
            <w:r>
              <w:rPr>
                <w:rFonts w:hint="eastAsia" w:ascii="宋体" w:hAnsi="宋体" w:cs="Arial"/>
                <w:color w:val="auto"/>
                <w:spacing w:val="-6"/>
                <w:sz w:val="21"/>
                <w:szCs w:val="21"/>
              </w:rPr>
              <w:t>向最高管理者报告质量、环境、职业健康安全管理体系的绩效及改进机会，确保整个组织推动以顾客为关注焦点</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lang w:val="en-US" w:eastAsia="zh-CN"/>
              </w:rPr>
              <w:t>保持环境管理和职业健康安全管理绩效</w:t>
            </w:r>
            <w:r>
              <w:rPr>
                <w:rFonts w:hint="eastAsia" w:ascii="宋体" w:hAnsi="宋体" w:cs="Arial"/>
                <w:color w:val="auto"/>
                <w:spacing w:val="-6"/>
                <w:sz w:val="21"/>
                <w:szCs w:val="21"/>
              </w:rPr>
              <w:t>，确保在策划和实施管理体系变更时保持其完整性。</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公司设置有行政部、生产部、质检部、销售部、采购部、财务部。</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经查每个部门均有部门职责和权限，各岗位的职责和权限、任职要求在《</w:t>
            </w:r>
            <w:r>
              <w:rPr>
                <w:rFonts w:hint="eastAsia" w:ascii="宋体" w:hAnsi="宋体" w:cs="Arial"/>
                <w:color w:val="auto"/>
                <w:spacing w:val="-6"/>
                <w:sz w:val="21"/>
                <w:szCs w:val="21"/>
                <w:lang w:val="en-US" w:eastAsia="zh-CN"/>
              </w:rPr>
              <w:t>管理手册</w:t>
            </w:r>
            <w:r>
              <w:rPr>
                <w:rFonts w:hint="eastAsia" w:ascii="宋体" w:hAnsi="宋体" w:cs="Arial"/>
                <w:color w:val="auto"/>
                <w:spacing w:val="-6"/>
                <w:sz w:val="21"/>
                <w:szCs w:val="21"/>
              </w:rPr>
              <w:t>》中得到规定。</w:t>
            </w:r>
          </w:p>
          <w:p>
            <w:pPr>
              <w:adjustRightInd w:val="0"/>
              <w:snapToGrid w:val="0"/>
              <w:spacing w:line="360" w:lineRule="auto"/>
              <w:ind w:right="105" w:rightChars="50" w:firstLine="396" w:firstLineChars="200"/>
              <w:textAlignment w:val="baseline"/>
              <w:rPr>
                <w:color w:val="auto"/>
              </w:rPr>
            </w:pPr>
            <w:r>
              <w:rPr>
                <w:rFonts w:hint="eastAsia" w:ascii="宋体" w:hAnsi="宋体" w:cs="Arial"/>
                <w:color w:val="auto"/>
                <w:spacing w:val="-6"/>
                <w:sz w:val="21"/>
                <w:szCs w:val="21"/>
              </w:rPr>
              <w:t>经查问组织内的职责和权限基本得到沟通，通过文件发布、传达、会议、培训等了解有关职责和权限。同总经理交谈，对于自身职责权限比较清楚。</w:t>
            </w:r>
          </w:p>
        </w:tc>
        <w:tc>
          <w:tcPr>
            <w:tcW w:w="1585" w:type="dxa"/>
          </w:tcPr>
          <w:p>
            <w:pPr>
              <w:spacing w:line="360" w:lineRule="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45" w:type="dxa"/>
            <w:vAlign w:val="top"/>
          </w:tcPr>
          <w:p>
            <w:pPr>
              <w:adjustRightInd w:val="0"/>
              <w:snapToGrid w:val="0"/>
              <w:spacing w:line="360" w:lineRule="auto"/>
              <w:ind w:right="105" w:rightChars="50"/>
              <w:textAlignment w:val="baseline"/>
              <w:rPr>
                <w:rFonts w:hint="default" w:ascii="宋体" w:hAnsi="宋体" w:eastAsia="宋体" w:cs="Arial"/>
                <w:spacing w:val="-6"/>
                <w:sz w:val="21"/>
                <w:szCs w:val="21"/>
                <w:lang w:val="en-US" w:eastAsia="zh-CN"/>
              </w:rPr>
            </w:pPr>
            <w:r>
              <w:rPr>
                <w:rFonts w:hint="eastAsia" w:ascii="宋体" w:hAnsi="宋体" w:eastAsia="宋体" w:cs="Arial"/>
                <w:spacing w:val="-6"/>
                <w:sz w:val="21"/>
                <w:szCs w:val="21"/>
              </w:rPr>
              <w:t>资源</w:t>
            </w:r>
          </w:p>
        </w:tc>
        <w:tc>
          <w:tcPr>
            <w:tcW w:w="1175"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lang w:val="en-US" w:eastAsia="zh-CN"/>
              </w:rPr>
              <w:t>Q:</w:t>
            </w:r>
            <w:r>
              <w:rPr>
                <w:rFonts w:hint="eastAsia" w:ascii="宋体" w:hAnsi="宋体" w:eastAsia="宋体" w:cs="Arial"/>
                <w:spacing w:val="-6"/>
                <w:sz w:val="21"/>
                <w:szCs w:val="21"/>
              </w:rPr>
              <w:t>7.1.1</w:t>
            </w:r>
          </w:p>
          <w:p>
            <w:pPr>
              <w:adjustRightInd w:val="0"/>
              <w:snapToGrid w:val="0"/>
              <w:spacing w:line="360" w:lineRule="auto"/>
              <w:ind w:right="105" w:rightChars="5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rPr>
              <w:t>EO</w:t>
            </w:r>
            <w:r>
              <w:rPr>
                <w:rFonts w:hint="eastAsia" w:ascii="宋体" w:hAnsi="宋体" w:eastAsia="宋体" w:cs="Arial"/>
                <w:spacing w:val="-6"/>
                <w:sz w:val="21"/>
                <w:szCs w:val="21"/>
                <w:lang w:val="en-US" w:eastAsia="zh-CN"/>
              </w:rPr>
              <w:t>:</w:t>
            </w:r>
            <w:r>
              <w:rPr>
                <w:rFonts w:hint="eastAsia" w:ascii="宋体" w:hAnsi="宋体" w:eastAsia="宋体" w:cs="Arial"/>
                <w:spacing w:val="-6"/>
                <w:sz w:val="21"/>
                <w:szCs w:val="21"/>
              </w:rPr>
              <w:t>7.1</w:t>
            </w:r>
          </w:p>
        </w:tc>
        <w:tc>
          <w:tcPr>
            <w:tcW w:w="10004" w:type="dxa"/>
          </w:tcPr>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杭州百诺电力科技有限公司成立于2009年；位于杭州富阳区鹿山街道工业功能区四号路3号第1-3幢.</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公司注册资金5018万，主要产品有通信管道、电力管道(非开挖电力管道、PVC电力管道)、玻璃钢管道、PE缠绕管等。</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公司现有员工30余人，特种作业人员4人、安全管理人员2人持证；</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主要生产设备有高速混料机、锥形双螺杆塑料挤出机、超锥形双螺杆挤出机、微型控制缠绕机等；</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主要检测设备包括：巴氏硬度计、电子拉力试验机、电子天平、管材落锤冲击试验机、熔体流动速率仪、热变形维卡软化点温度测定仪、温湿度计等；</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安全环保设施包括有灭火器、消防栓、布袋除尘装置、个体防护用品、垃圾桶等；</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lang w:val="en-US" w:eastAsia="zh-CN"/>
              </w:rPr>
            </w:pPr>
            <w:r>
              <w:rPr>
                <w:rFonts w:hint="default" w:ascii="宋体" w:hAnsi="宋体" w:cs="Arial"/>
                <w:color w:val="auto"/>
                <w:spacing w:val="-6"/>
                <w:sz w:val="21"/>
                <w:szCs w:val="21"/>
                <w:lang w:val="en-US" w:eastAsia="zh-CN"/>
              </w:rPr>
              <w:t>确认公司目前人力资源、基础设施、销售人员、财力、信息等资源均能保证。公司</w:t>
            </w:r>
            <w:r>
              <w:rPr>
                <w:rFonts w:hint="eastAsia" w:ascii="宋体" w:hAnsi="宋体" w:cs="Arial"/>
                <w:color w:val="auto"/>
                <w:spacing w:val="-6"/>
                <w:sz w:val="21"/>
                <w:szCs w:val="21"/>
                <w:lang w:val="en-US" w:eastAsia="zh-CN"/>
              </w:rPr>
              <w:t>办公区域等</w:t>
            </w:r>
            <w:r>
              <w:rPr>
                <w:rFonts w:hint="default" w:ascii="宋体" w:hAnsi="宋体" w:cs="Arial"/>
                <w:color w:val="auto"/>
                <w:spacing w:val="-6"/>
                <w:sz w:val="21"/>
                <w:szCs w:val="21"/>
                <w:lang w:val="en-US" w:eastAsia="zh-CN"/>
              </w:rPr>
              <w:t>现场配备了灭火器</w:t>
            </w:r>
            <w:r>
              <w:rPr>
                <w:rFonts w:hint="eastAsia" w:ascii="宋体" w:hAnsi="宋体" w:cs="Arial"/>
                <w:color w:val="auto"/>
                <w:spacing w:val="-6"/>
                <w:sz w:val="21"/>
                <w:szCs w:val="21"/>
                <w:lang w:val="en-US" w:eastAsia="zh-CN"/>
              </w:rPr>
              <w:t>、消防栓</w:t>
            </w:r>
            <w:r>
              <w:rPr>
                <w:rFonts w:hint="default" w:ascii="宋体" w:hAnsi="宋体" w:cs="Arial"/>
                <w:color w:val="auto"/>
                <w:spacing w:val="-6"/>
                <w:sz w:val="21"/>
                <w:szCs w:val="21"/>
                <w:lang w:val="en-US" w:eastAsia="zh-CN"/>
              </w:rPr>
              <w:t>等消防安全设备，能保证企业正常办公。</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lang w:val="en-US" w:eastAsia="zh-CN"/>
              </w:rPr>
            </w:pPr>
            <w:r>
              <w:rPr>
                <w:rFonts w:hint="default" w:ascii="宋体" w:hAnsi="宋体" w:cs="Arial"/>
                <w:color w:val="auto"/>
                <w:spacing w:val="-6"/>
                <w:sz w:val="21"/>
                <w:szCs w:val="21"/>
                <w:lang w:val="en-US" w:eastAsia="zh-CN"/>
              </w:rPr>
              <w:t>公司财务能保证质量、环境、职业健康安全工作的开展，确保相关资金及时投入。</w:t>
            </w:r>
          </w:p>
          <w:p>
            <w:pPr>
              <w:adjustRightInd w:val="0"/>
              <w:snapToGrid w:val="0"/>
              <w:spacing w:line="360" w:lineRule="auto"/>
              <w:ind w:right="105" w:rightChars="50" w:firstLine="396" w:firstLineChars="200"/>
              <w:textAlignment w:val="baseline"/>
              <w:rPr>
                <w:rFonts w:hint="default" w:eastAsia="宋体"/>
                <w:color w:val="auto"/>
                <w:lang w:val="en-US" w:eastAsia="zh-CN"/>
              </w:rPr>
            </w:pPr>
            <w:r>
              <w:rPr>
                <w:rFonts w:hint="default" w:ascii="宋体" w:hAnsi="宋体" w:cs="Arial"/>
                <w:color w:val="auto"/>
                <w:spacing w:val="-6"/>
                <w:sz w:val="21"/>
                <w:szCs w:val="21"/>
                <w:lang w:val="en-US" w:eastAsia="zh-CN"/>
              </w:rPr>
              <w:t>基本能满足体系运行的要求。</w:t>
            </w:r>
          </w:p>
        </w:tc>
        <w:tc>
          <w:tcPr>
            <w:tcW w:w="1585" w:type="dxa"/>
          </w:tcPr>
          <w:p>
            <w:pPr>
              <w:spacing w:line="360" w:lineRule="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45"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沟通</w:t>
            </w:r>
          </w:p>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信息交流</w:t>
            </w:r>
          </w:p>
          <w:p>
            <w:pPr>
              <w:adjustRightInd w:val="0"/>
              <w:snapToGrid w:val="0"/>
              <w:spacing w:line="360" w:lineRule="auto"/>
              <w:ind w:right="105" w:rightChars="50"/>
              <w:textAlignment w:val="baseline"/>
              <w:rPr>
                <w:rFonts w:hint="default" w:ascii="宋体" w:hAnsi="宋体" w:eastAsia="宋体" w:cs="Arial"/>
                <w:spacing w:val="-6"/>
                <w:sz w:val="21"/>
                <w:szCs w:val="21"/>
                <w:lang w:val="en-US" w:eastAsia="zh-CN"/>
              </w:rPr>
            </w:pPr>
            <w:r>
              <w:rPr>
                <w:rFonts w:hint="eastAsia" w:ascii="宋体" w:hAnsi="宋体" w:eastAsia="宋体" w:cs="Arial"/>
                <w:spacing w:val="-6"/>
                <w:sz w:val="21"/>
                <w:szCs w:val="21"/>
              </w:rPr>
              <w:t>协商与参与</w:t>
            </w:r>
          </w:p>
        </w:tc>
        <w:tc>
          <w:tcPr>
            <w:tcW w:w="1175"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lang w:val="en-US" w:eastAsia="zh-CN"/>
              </w:rPr>
              <w:t>QEO:</w:t>
            </w:r>
            <w:r>
              <w:rPr>
                <w:rFonts w:hint="eastAsia" w:ascii="宋体" w:hAnsi="宋体" w:eastAsia="宋体" w:cs="Arial"/>
                <w:spacing w:val="-6"/>
                <w:sz w:val="21"/>
                <w:szCs w:val="21"/>
              </w:rPr>
              <w:t>7.4</w:t>
            </w:r>
          </w:p>
          <w:p>
            <w:pPr>
              <w:adjustRightInd w:val="0"/>
              <w:snapToGrid w:val="0"/>
              <w:spacing w:line="360" w:lineRule="auto"/>
              <w:ind w:right="105" w:rightChars="5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O:5.4</w:t>
            </w:r>
          </w:p>
        </w:tc>
        <w:tc>
          <w:tcPr>
            <w:tcW w:w="10004" w:type="dxa"/>
          </w:tcPr>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组织在各部门之间建立了与体系有关的信息通渠沟道，借助于会议、电话、微信、网络、口头交流等方式使全体员工达到沟通和理解。目前各部门协调一致，工作上的接口基本理顺。</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总经理定期主持经营办公例会，分析公司的发展、市场情况和体系运行是否有效，管理目标完成情况，满足顾客要求和法规程度，改进建议等内部管理存在问题等。</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总经理为协商、参与提供了时间、机会、培训、资源等保障，明确了沟通、协商、参与渠道，消除了障碍和壁垒。</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管代介绍公司规模不大，人员不多，组织为各部门管理人员及非管理类工作人员明确了职责和权限，各部门管理人员及非管理类工作人员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日常对于质量、环保、安全方面的信息主要利用会议、培训、座谈、电话、网络、收文等方式进行内外部沟通和协商。</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经交流：目前与环保、劳动、消防、安监部门的外部信息交流主要是参加会议、接收来文、电话、邮件等，均按要求予以传达和落实，沟通情况较好。</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相关人员能够适当参与并协商办理公司经营管理及安全事务等工作。</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公司经选举确定职业健康安全事务代表</w:t>
            </w:r>
            <w:r>
              <w:rPr>
                <w:rFonts w:hint="eastAsia" w:ascii="宋体" w:hAnsi="宋体" w:cs="Arial"/>
                <w:color w:val="auto"/>
                <w:spacing w:val="-6"/>
                <w:sz w:val="21"/>
                <w:szCs w:val="21"/>
                <w:highlight w:val="none"/>
                <w:lang w:val="en-US" w:eastAsia="zh-CN"/>
              </w:rPr>
              <w:t>洪荣军替换王建容；</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a）负责</w:t>
            </w:r>
            <w:r>
              <w:rPr>
                <w:rFonts w:hint="eastAsia" w:ascii="宋体" w:hAnsi="宋体" w:cs="Arial"/>
                <w:color w:val="auto"/>
                <w:spacing w:val="-6"/>
                <w:sz w:val="21"/>
                <w:szCs w:val="21"/>
                <w:highlight w:val="none"/>
                <w:lang w:val="en-US" w:eastAsia="zh-CN"/>
              </w:rPr>
              <w:t>员工职业健康安全</w:t>
            </w:r>
            <w:r>
              <w:rPr>
                <w:rFonts w:hint="eastAsia" w:ascii="宋体" w:hAnsi="宋体" w:eastAsia="宋体" w:cs="Arial"/>
                <w:color w:val="auto"/>
                <w:spacing w:val="-6"/>
                <w:sz w:val="21"/>
                <w:szCs w:val="21"/>
                <w:highlight w:val="none"/>
                <w:lang w:val="en-US" w:eastAsia="zh-CN"/>
              </w:rPr>
              <w:t>日常工作；</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b）负责召开讨论有关工资、福利、劳动安全卫生、社会保险等涉及职工切身利益的会议，代表员工反映员工的建议和意见；</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c）接收、处理外部职业健康安全信息；</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d）交流各级职能部门间产生的职业健康安全信息；</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e）收集、处理和反馈员工所关心的职业健康安全问题；</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f）参与职业健康安全工作方针和程序的制定、评审和实施；</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g）参与影响作业场所人员职业健康安全的任何变化的讨论。</w:t>
            </w:r>
          </w:p>
          <w:p>
            <w:pPr>
              <w:adjustRightInd w:val="0"/>
              <w:snapToGrid w:val="0"/>
              <w:spacing w:line="360" w:lineRule="auto"/>
              <w:ind w:right="105" w:rightChars="50" w:firstLine="396" w:firstLineChars="200"/>
              <w:textAlignment w:val="baseline"/>
              <w:rPr>
                <w:color w:val="auto"/>
              </w:rPr>
            </w:pPr>
            <w:r>
              <w:rPr>
                <w:rFonts w:hint="eastAsia" w:ascii="宋体" w:hAnsi="宋体" w:eastAsia="宋体" w:cs="Arial"/>
                <w:color w:val="auto"/>
                <w:spacing w:val="-6"/>
                <w:sz w:val="21"/>
                <w:szCs w:val="21"/>
                <w:highlight w:val="none"/>
                <w:lang w:val="en-US" w:eastAsia="zh-CN"/>
              </w:rPr>
              <w:t>现有的沟通渠道和方法能满足要求。</w:t>
            </w:r>
          </w:p>
        </w:tc>
        <w:tc>
          <w:tcPr>
            <w:tcW w:w="1585" w:type="dxa"/>
          </w:tcPr>
          <w:p>
            <w:pPr>
              <w:spacing w:line="360" w:lineRule="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45" w:type="dxa"/>
            <w:vAlign w:val="top"/>
          </w:tcPr>
          <w:p>
            <w:pPr>
              <w:adjustRightInd w:val="0"/>
              <w:snapToGrid w:val="0"/>
              <w:spacing w:line="360" w:lineRule="auto"/>
              <w:ind w:right="105" w:rightChars="50"/>
              <w:textAlignment w:val="baseline"/>
              <w:rPr>
                <w:rFonts w:hint="default" w:ascii="宋体" w:hAnsi="宋体" w:eastAsia="宋体" w:cs="Arial"/>
                <w:spacing w:val="-6"/>
                <w:sz w:val="21"/>
                <w:szCs w:val="21"/>
                <w:lang w:val="en-US" w:eastAsia="zh-CN"/>
              </w:rPr>
            </w:pPr>
            <w:r>
              <w:rPr>
                <w:rFonts w:hint="eastAsia" w:ascii="宋体" w:hAnsi="宋体" w:eastAsia="宋体" w:cs="Arial"/>
                <w:spacing w:val="-6"/>
                <w:sz w:val="21"/>
                <w:szCs w:val="21"/>
              </w:rPr>
              <w:t>管理评审</w:t>
            </w:r>
          </w:p>
        </w:tc>
        <w:tc>
          <w:tcPr>
            <w:tcW w:w="1175"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QEO:</w:t>
            </w:r>
            <w:r>
              <w:rPr>
                <w:rFonts w:hint="eastAsia" w:ascii="宋体" w:hAnsi="宋体" w:eastAsia="宋体" w:cs="Arial"/>
                <w:spacing w:val="-6"/>
                <w:sz w:val="21"/>
                <w:szCs w:val="21"/>
              </w:rPr>
              <w:t>9.3</w:t>
            </w:r>
          </w:p>
        </w:tc>
        <w:tc>
          <w:tcPr>
            <w:tcW w:w="10004" w:type="dxa"/>
          </w:tcPr>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2021年1月23日在会议室</w:t>
            </w:r>
            <w:r>
              <w:rPr>
                <w:rFonts w:hint="eastAsia" w:ascii="宋体" w:hAnsi="宋体" w:cs="Arial"/>
                <w:color w:val="auto"/>
                <w:spacing w:val="-6"/>
                <w:sz w:val="21"/>
                <w:szCs w:val="21"/>
                <w:highlight w:val="none"/>
                <w:lang w:val="en-US" w:eastAsia="zh-CN"/>
              </w:rPr>
              <w:t>总经理王兰平</w:t>
            </w:r>
            <w:r>
              <w:rPr>
                <w:rFonts w:hint="eastAsia" w:ascii="宋体" w:hAnsi="宋体" w:eastAsia="宋体" w:cs="Arial"/>
                <w:color w:val="auto"/>
                <w:spacing w:val="-6"/>
                <w:sz w:val="21"/>
                <w:szCs w:val="21"/>
                <w:highlight w:val="none"/>
                <w:lang w:val="en-US" w:eastAsia="zh-CN"/>
              </w:rPr>
              <w:t>主持了管理评审。保留有管理评审计划、管理评审会议通知、评审记录、评审报告和改进措施计划等；</w:t>
            </w:r>
          </w:p>
          <w:p>
            <w:pPr>
              <w:adjustRightInd w:val="0"/>
              <w:snapToGrid w:val="0"/>
              <w:spacing w:line="360" w:lineRule="auto"/>
              <w:ind w:right="105" w:rightChars="50" w:firstLine="372"/>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管理评审输入满足要求；包括有对上次管理评审所采取措施情况的评审；</w:t>
            </w:r>
          </w:p>
          <w:p>
            <w:pPr>
              <w:adjustRightInd w:val="0"/>
              <w:snapToGrid w:val="0"/>
              <w:spacing w:line="360" w:lineRule="auto"/>
              <w:ind w:right="105" w:rightChars="50" w:firstLine="372"/>
              <w:textAlignment w:val="baseline"/>
              <w:rPr>
                <w:rFonts w:hint="default"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查见“对上次管理评审所采取措施情况：公司于2021年1月7日完成对ISO 9001：2015、ISO 14001：2015、ISO45001：2018标准的培训”。</w:t>
            </w:r>
          </w:p>
          <w:p>
            <w:pPr>
              <w:adjustRightInd w:val="0"/>
              <w:snapToGrid w:val="0"/>
              <w:spacing w:line="360" w:lineRule="auto"/>
              <w:ind w:right="105" w:rightChars="50" w:firstLine="372"/>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管理评审结论：管理体系的建立和运行是充分的、适宜的、有效的。</w:t>
            </w:r>
          </w:p>
          <w:p>
            <w:pPr>
              <w:adjustRightInd w:val="0"/>
              <w:snapToGrid w:val="0"/>
              <w:spacing w:line="360" w:lineRule="auto"/>
              <w:ind w:right="105" w:rightChars="50" w:firstLine="372"/>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改进措施建议：</w:t>
            </w:r>
          </w:p>
          <w:p>
            <w:pPr>
              <w:adjustRightInd w:val="0"/>
              <w:snapToGrid w:val="0"/>
              <w:spacing w:line="360" w:lineRule="auto"/>
              <w:ind w:right="105" w:rightChars="50" w:firstLine="372"/>
              <w:textAlignment w:val="baseline"/>
              <w:rPr>
                <w:rFonts w:hint="default" w:ascii="宋体" w:hAnsi="宋体" w:cs="Arial"/>
                <w:spacing w:val="-6"/>
                <w:sz w:val="21"/>
                <w:szCs w:val="21"/>
                <w:highlight w:val="none"/>
                <w:lang w:val="en-US" w:eastAsia="zh-CN"/>
              </w:rPr>
            </w:pPr>
            <w:r>
              <w:rPr>
                <w:rFonts w:hint="default" w:ascii="宋体" w:hAnsi="宋体" w:cs="Arial"/>
                <w:spacing w:val="-6"/>
                <w:sz w:val="21"/>
                <w:szCs w:val="21"/>
                <w:highlight w:val="none"/>
                <w:lang w:val="en-US" w:eastAsia="zh-CN"/>
              </w:rPr>
              <w:t>1）对标准、《管理手册》、《程序文件》培训，使与管理体系有关的人员了解和掌握标准和本公司管理体系文件的内容，特别是应该提高内审员的水平和技巧；</w:t>
            </w:r>
          </w:p>
          <w:p>
            <w:pPr>
              <w:adjustRightInd w:val="0"/>
              <w:snapToGrid w:val="0"/>
              <w:spacing w:line="360" w:lineRule="auto"/>
              <w:ind w:right="105" w:rightChars="50" w:firstLine="372"/>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制定有“管理评审改进措施计划”。</w:t>
            </w:r>
          </w:p>
          <w:p>
            <w:pPr>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highlight w:val="none"/>
                <w:lang w:val="en-US" w:eastAsia="zh-CN"/>
              </w:rPr>
            </w:pPr>
            <w:r>
              <w:rPr>
                <w:rFonts w:hint="eastAsia" w:ascii="宋体" w:hAnsi="宋体" w:cs="Arial"/>
                <w:spacing w:val="-6"/>
                <w:sz w:val="21"/>
                <w:szCs w:val="21"/>
                <w:highlight w:val="none"/>
                <w:lang w:val="en-US" w:eastAsia="zh-CN"/>
              </w:rPr>
              <w:t>基本符合要求。</w:t>
            </w:r>
          </w:p>
        </w:tc>
        <w:tc>
          <w:tcPr>
            <w:tcW w:w="1585" w:type="dxa"/>
          </w:tcPr>
          <w:p>
            <w:pPr>
              <w:spacing w:line="360" w:lineRule="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45"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改进</w:t>
            </w:r>
          </w:p>
          <w:p>
            <w:pPr>
              <w:adjustRightInd w:val="0"/>
              <w:snapToGrid w:val="0"/>
              <w:spacing w:line="360" w:lineRule="auto"/>
              <w:ind w:right="105" w:rightChars="50"/>
              <w:textAlignment w:val="baseline"/>
              <w:rPr>
                <w:rFonts w:hint="default" w:ascii="宋体" w:hAnsi="宋体" w:eastAsia="宋体" w:cs="Arial"/>
                <w:spacing w:val="-6"/>
                <w:sz w:val="21"/>
                <w:szCs w:val="21"/>
                <w:lang w:val="en-US" w:eastAsia="zh-CN"/>
              </w:rPr>
            </w:pPr>
            <w:r>
              <w:rPr>
                <w:rFonts w:hint="eastAsia" w:ascii="宋体" w:hAnsi="宋体" w:eastAsia="宋体" w:cs="Arial"/>
                <w:spacing w:val="-6"/>
                <w:sz w:val="21"/>
                <w:szCs w:val="21"/>
              </w:rPr>
              <w:t>持续改进</w:t>
            </w:r>
          </w:p>
        </w:tc>
        <w:tc>
          <w:tcPr>
            <w:tcW w:w="1175"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lang w:val="en-US" w:eastAsia="zh-CN"/>
              </w:rPr>
              <w:t>QEO:</w:t>
            </w:r>
            <w:r>
              <w:rPr>
                <w:rFonts w:hint="eastAsia" w:ascii="宋体" w:hAnsi="宋体" w:eastAsia="宋体" w:cs="Arial"/>
                <w:spacing w:val="-6"/>
                <w:sz w:val="21"/>
                <w:szCs w:val="21"/>
              </w:rPr>
              <w:t>10.1</w:t>
            </w:r>
          </w:p>
          <w:p>
            <w:pPr>
              <w:adjustRightInd w:val="0"/>
              <w:snapToGrid w:val="0"/>
              <w:spacing w:line="360" w:lineRule="auto"/>
              <w:ind w:right="105" w:rightChars="50"/>
              <w:jc w:val="center"/>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rPr>
              <w:t>10.3</w:t>
            </w:r>
          </w:p>
        </w:tc>
        <w:tc>
          <w:tcPr>
            <w:tcW w:w="10004" w:type="dxa"/>
          </w:tcPr>
          <w:p>
            <w:pPr>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1585" w:type="dxa"/>
          </w:tcPr>
          <w:p>
            <w:pPr>
              <w:spacing w:line="360" w:lineRule="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45" w:type="dxa"/>
            <w:vAlign w:val="top"/>
          </w:tcPr>
          <w:p>
            <w:pPr>
              <w:adjustRightInd w:val="0"/>
              <w:snapToGrid w:val="0"/>
              <w:spacing w:line="360" w:lineRule="auto"/>
              <w:ind w:right="105" w:rightChars="50"/>
              <w:textAlignment w:val="baseline"/>
              <w:rPr>
                <w:rFonts w:hint="default" w:ascii="宋体" w:hAnsi="宋体" w:eastAsia="宋体" w:cs="Arial"/>
                <w:spacing w:val="-6"/>
                <w:sz w:val="21"/>
                <w:szCs w:val="21"/>
                <w:lang w:val="en-US" w:eastAsia="zh-CN"/>
              </w:rPr>
            </w:pPr>
            <w:r>
              <w:rPr>
                <w:rFonts w:hint="eastAsia" w:ascii="宋体" w:hAnsi="宋体" w:eastAsia="宋体" w:cs="Arial"/>
                <w:spacing w:val="-6"/>
                <w:sz w:val="21"/>
                <w:szCs w:val="21"/>
              </w:rPr>
              <w:t>上次审核不符合项的验证</w:t>
            </w:r>
          </w:p>
        </w:tc>
        <w:tc>
          <w:tcPr>
            <w:tcW w:w="1175"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lang w:val="en-US" w:eastAsia="zh-CN"/>
              </w:rPr>
            </w:pPr>
          </w:p>
        </w:tc>
        <w:tc>
          <w:tcPr>
            <w:tcW w:w="10004" w:type="dxa"/>
            <w:vAlign w:val="center"/>
          </w:tcPr>
          <w:p>
            <w:pPr>
              <w:spacing w:line="360" w:lineRule="auto"/>
              <w:ind w:firstLine="420"/>
              <w:rPr>
                <w:rFonts w:hint="eastAsia" w:ascii="Times New Roman" w:hAnsi="Times New Roman" w:eastAsia="宋体" w:cs="Times New Roman"/>
                <w:color w:val="auto"/>
                <w:szCs w:val="22"/>
                <w:lang w:val="en-US" w:eastAsia="zh-CN"/>
              </w:rPr>
            </w:pPr>
            <w:r>
              <w:rPr>
                <w:rFonts w:hint="eastAsia" w:ascii="Times New Roman" w:hAnsi="Times New Roman" w:eastAsia="宋体" w:cs="Times New Roman"/>
                <w:color w:val="auto"/>
                <w:szCs w:val="22"/>
                <w:lang w:val="en-US" w:eastAsia="zh-CN"/>
              </w:rPr>
              <w:t>上次审核时发现的问题，经此次审核现场验证已关闭，整改措施有效。</w:t>
            </w:r>
          </w:p>
        </w:tc>
        <w:tc>
          <w:tcPr>
            <w:tcW w:w="1585" w:type="dxa"/>
          </w:tcPr>
          <w:p>
            <w:pPr>
              <w:spacing w:line="360" w:lineRule="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945"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验证企业相关资质证明的有效性</w:t>
            </w:r>
          </w:p>
        </w:tc>
        <w:tc>
          <w:tcPr>
            <w:tcW w:w="1175"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lang w:val="en-US" w:eastAsia="zh-CN"/>
              </w:rPr>
            </w:pPr>
          </w:p>
        </w:tc>
        <w:tc>
          <w:tcPr>
            <w:tcW w:w="10004" w:type="dxa"/>
            <w:vAlign w:val="center"/>
          </w:tcPr>
          <w:p>
            <w:pPr>
              <w:spacing w:line="360" w:lineRule="auto"/>
              <w:ind w:firstLine="420"/>
              <w:rPr>
                <w:rFonts w:hint="default" w:ascii="Times New Roman" w:hAnsi="Times New Roman" w:eastAsia="宋体" w:cs="Times New Roman"/>
                <w:color w:val="auto"/>
                <w:szCs w:val="22"/>
                <w:lang w:val="en-US" w:eastAsia="zh-CN"/>
              </w:rPr>
            </w:pPr>
            <w:r>
              <w:rPr>
                <w:rFonts w:hint="eastAsia" w:ascii="宋体" w:hAnsi="宋体" w:eastAsia="宋体" w:cs="Arial"/>
                <w:color w:val="auto"/>
                <w:spacing w:val="-6"/>
                <w:sz w:val="21"/>
                <w:szCs w:val="21"/>
              </w:rPr>
              <w:t>国家企业信用信息公示系统</w:t>
            </w:r>
            <w:r>
              <w:rPr>
                <w:rFonts w:hint="eastAsia" w:ascii="宋体" w:hAnsi="宋体" w:eastAsia="宋体" w:cs="Arial"/>
                <w:color w:val="auto"/>
                <w:spacing w:val="-6"/>
                <w:sz w:val="21"/>
                <w:szCs w:val="21"/>
                <w:lang w:val="en-US" w:eastAsia="zh-CN"/>
              </w:rPr>
              <w:t>查询结果：营业执照</w:t>
            </w:r>
            <w:bookmarkStart w:id="0" w:name="_GoBack"/>
            <w:bookmarkEnd w:id="0"/>
            <w:r>
              <w:rPr>
                <w:rFonts w:hint="eastAsia" w:ascii="宋体" w:hAnsi="宋体" w:eastAsia="宋体" w:cs="Arial"/>
                <w:color w:val="auto"/>
                <w:spacing w:val="-6"/>
                <w:sz w:val="21"/>
                <w:szCs w:val="21"/>
                <w:lang w:val="en-US" w:eastAsia="zh-CN"/>
              </w:rPr>
              <w:t>续存，无风险警示。</w:t>
            </w:r>
            <w:r>
              <w:rPr>
                <w:rFonts w:hint="eastAsia" w:ascii="宋体" w:hAnsi="宋体" w:cs="Arial"/>
                <w:color w:val="auto"/>
                <w:spacing w:val="-6"/>
                <w:sz w:val="21"/>
                <w:szCs w:val="21"/>
                <w:lang w:val="en-US" w:eastAsia="zh-CN"/>
              </w:rPr>
              <w:t>查见</w:t>
            </w:r>
            <w:r>
              <w:rPr>
                <w:rFonts w:hint="eastAsia" w:ascii="宋体" w:hAnsi="宋体" w:eastAsia="宋体" w:cs="Arial"/>
                <w:color w:val="auto"/>
                <w:spacing w:val="-6"/>
                <w:sz w:val="21"/>
                <w:szCs w:val="21"/>
                <w:lang w:val="en-US" w:eastAsia="zh-CN"/>
              </w:rPr>
              <w:t>营业执照，有效。</w:t>
            </w:r>
          </w:p>
        </w:tc>
        <w:tc>
          <w:tcPr>
            <w:tcW w:w="1585" w:type="dxa"/>
          </w:tcPr>
          <w:p>
            <w:pPr>
              <w:spacing w:line="360" w:lineRule="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45"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顾客满意、相关方投诉及处理情况</w:t>
            </w:r>
          </w:p>
          <w:p>
            <w:pPr>
              <w:adjustRightInd w:val="0"/>
              <w:snapToGrid w:val="0"/>
              <w:spacing w:line="360" w:lineRule="auto"/>
              <w:ind w:right="105" w:rightChars="50"/>
              <w:textAlignment w:val="baseline"/>
              <w:rPr>
                <w:rFonts w:hint="default" w:ascii="宋体" w:hAnsi="宋体" w:eastAsia="宋体" w:cs="Arial"/>
                <w:spacing w:val="-6"/>
                <w:sz w:val="21"/>
                <w:szCs w:val="21"/>
                <w:lang w:val="en-US" w:eastAsia="zh-CN"/>
              </w:rPr>
            </w:pPr>
            <w:r>
              <w:rPr>
                <w:rFonts w:hint="eastAsia" w:ascii="宋体" w:hAnsi="宋体" w:eastAsia="宋体" w:cs="Arial"/>
                <w:spacing w:val="-6"/>
                <w:sz w:val="21"/>
                <w:szCs w:val="21"/>
              </w:rPr>
              <w:t>国家/地方监督抽查情况</w:t>
            </w:r>
          </w:p>
        </w:tc>
        <w:tc>
          <w:tcPr>
            <w:tcW w:w="1175"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lang w:val="en-US" w:eastAsia="zh-CN"/>
              </w:rPr>
            </w:pPr>
          </w:p>
        </w:tc>
        <w:tc>
          <w:tcPr>
            <w:tcW w:w="10004" w:type="dxa"/>
            <w:vAlign w:val="center"/>
          </w:tcPr>
          <w:p>
            <w:pPr>
              <w:spacing w:line="360" w:lineRule="auto"/>
              <w:ind w:firstLine="420"/>
              <w:rPr>
                <w:rFonts w:hint="default" w:ascii="Times New Roman" w:hAnsi="Times New Roman" w:eastAsia="宋体" w:cs="Times New Roman"/>
                <w:color w:val="auto"/>
                <w:szCs w:val="22"/>
                <w:lang w:val="en-US" w:eastAsia="zh-CN"/>
              </w:rPr>
            </w:pPr>
            <w:r>
              <w:rPr>
                <w:rFonts w:hint="eastAsia" w:ascii="Times New Roman" w:hAnsi="Times New Roman" w:eastAsia="宋体" w:cs="Times New Roman"/>
                <w:color w:val="auto"/>
                <w:szCs w:val="22"/>
                <w:lang w:val="en-US" w:eastAsia="zh-CN"/>
              </w:rPr>
              <w:t>顾客满意：通过发放顾客满意度调查进行监测，2020年12月28日，发放调查表</w:t>
            </w:r>
            <w:r>
              <w:rPr>
                <w:rFonts w:hint="eastAsia" w:cs="Times New Roman"/>
                <w:color w:val="auto"/>
                <w:szCs w:val="22"/>
                <w:lang w:val="en-US" w:eastAsia="zh-CN"/>
              </w:rPr>
              <w:t>8</w:t>
            </w:r>
            <w:r>
              <w:rPr>
                <w:rFonts w:hint="eastAsia" w:ascii="Times New Roman" w:hAnsi="Times New Roman" w:eastAsia="宋体" w:cs="Times New Roman"/>
                <w:color w:val="auto"/>
                <w:szCs w:val="22"/>
                <w:lang w:val="en-US" w:eastAsia="zh-CN"/>
              </w:rPr>
              <w:t>份，经统计分析，顾客满意度为97.7分。</w:t>
            </w:r>
          </w:p>
          <w:p>
            <w:pPr>
              <w:adjustRightInd w:val="0"/>
              <w:snapToGrid w:val="0"/>
              <w:spacing w:line="360" w:lineRule="auto"/>
              <w:ind w:right="105" w:rightChars="50" w:firstLine="372"/>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自公司成立以来，行业主管部门和政府有关单位对公司进行检查时提出的小问题都能及时整改；目前没有相关行政主管部门的检查，在审核现场也未发现抽查、相关方投诉等情况。</w:t>
            </w:r>
          </w:p>
          <w:p>
            <w:pPr>
              <w:adjustRightInd w:val="0"/>
              <w:snapToGrid w:val="0"/>
              <w:spacing w:line="360" w:lineRule="auto"/>
              <w:ind w:right="105" w:rightChars="50" w:firstLine="372"/>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本周期未受到上级主管部门有关质量、环境、职业健康安全的行政处罚，未发生相关方的投诉。</w:t>
            </w:r>
          </w:p>
          <w:p>
            <w:pPr>
              <w:spacing w:line="360" w:lineRule="auto"/>
              <w:ind w:firstLine="420"/>
              <w:rPr>
                <w:rFonts w:hint="eastAsia" w:ascii="Times New Roman" w:hAnsi="Times New Roman" w:eastAsia="宋体" w:cs="Times New Roman"/>
                <w:color w:val="auto"/>
                <w:szCs w:val="22"/>
                <w:lang w:val="en-US" w:eastAsia="zh-CN"/>
              </w:rPr>
            </w:pPr>
            <w:r>
              <w:rPr>
                <w:rFonts w:hint="eastAsia" w:ascii="Times New Roman" w:hAnsi="Times New Roman" w:eastAsia="宋体" w:cs="Times New Roman"/>
                <w:color w:val="auto"/>
                <w:szCs w:val="22"/>
                <w:lang w:val="en-US" w:eastAsia="zh-CN"/>
              </w:rPr>
              <w:t>暂时没有国家/地方抽查情况。</w:t>
            </w:r>
          </w:p>
        </w:tc>
        <w:tc>
          <w:tcPr>
            <w:tcW w:w="1585" w:type="dxa"/>
          </w:tcPr>
          <w:p>
            <w:pPr>
              <w:spacing w:line="360" w:lineRule="auto"/>
              <w:rPr>
                <w:rFonts w:hint="eastAsia" w:eastAsia="宋体"/>
                <w:lang w:val="en-US" w:eastAsia="zh-CN"/>
              </w:rPr>
            </w:pPr>
            <w:r>
              <w:rPr>
                <w:rFonts w:hint="eastAsia"/>
                <w:lang w:val="en-US" w:eastAsia="zh-CN"/>
              </w:rPr>
              <w:t>Y</w:t>
            </w: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1"/>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6A4FAD"/>
    <w:rsid w:val="16883B0C"/>
    <w:rsid w:val="29A82042"/>
    <w:rsid w:val="40BA733C"/>
    <w:rsid w:val="4EB11A91"/>
    <w:rsid w:val="5E992A4C"/>
    <w:rsid w:val="68111886"/>
    <w:rsid w:val="6A0103AE"/>
    <w:rsid w:val="6DDA7EB7"/>
    <w:rsid w:val="73D04D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uiPriority w:val="99"/>
    <w:pPr>
      <w:spacing w:after="120" w:afterLines="0" w:afterAutospacing="0"/>
      <w:ind w:firstLine="720" w:firstLineChars="200"/>
    </w:pPr>
    <w:rPr>
      <w:rFonts w:ascii="Times New Roman" w:hAnsi="Times New Roman" w:eastAsia="宋体" w:cs="Times New Roman"/>
      <w:sz w:val="21"/>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uiPriority w:val="99"/>
    <w:rPr>
      <w:rFonts w:ascii="Times New Roman" w:hAnsi="Times New Roman" w:eastAsia="宋体" w:cs="Times New Roman"/>
      <w:sz w:val="18"/>
      <w:szCs w:val="18"/>
    </w:rPr>
  </w:style>
  <w:style w:type="character" w:customStyle="1" w:styleId="9">
    <w:name w:val="页脚 Char"/>
    <w:basedOn w:val="7"/>
    <w:link w:val="4"/>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6</TotalTime>
  <ScaleCrop>false</ScaleCrop>
  <LinksUpToDate>false</LinksUpToDate>
  <CharactersWithSpaces>101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2021-04-28T05:42:43Z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