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106"/>
        <w:gridCol w:w="1441"/>
        <w:gridCol w:w="579"/>
        <w:gridCol w:w="1242"/>
        <w:gridCol w:w="176"/>
        <w:gridCol w:w="183"/>
        <w:gridCol w:w="406"/>
        <w:gridCol w:w="261"/>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4"/>
            <w:vAlign w:val="center"/>
          </w:tcPr>
          <w:p>
            <w:pPr>
              <w:rPr>
                <w:sz w:val="21"/>
                <w:szCs w:val="21"/>
              </w:rPr>
            </w:pPr>
            <w:bookmarkStart w:id="0" w:name="组织名称"/>
            <w:r>
              <w:rPr>
                <w:sz w:val="21"/>
                <w:szCs w:val="21"/>
              </w:rPr>
              <w:t>杭州百诺电力科技有限公司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杭州富阳区鹿山街道工业功能区四号路3号第1-3幢</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799" w:type="dxa"/>
            <w:gridSpan w:val="5"/>
            <w:vAlign w:val="center"/>
          </w:tcPr>
          <w:p>
            <w:pPr>
              <w:rPr>
                <w:sz w:val="21"/>
                <w:szCs w:val="21"/>
              </w:rPr>
            </w:pPr>
            <w:bookmarkStart w:id="2" w:name="联系人"/>
            <w:r>
              <w:rPr>
                <w:sz w:val="21"/>
                <w:szCs w:val="21"/>
              </w:rPr>
              <w:t>余竹青</w:t>
            </w:r>
            <w:bookmarkEnd w:id="2"/>
          </w:p>
        </w:tc>
        <w:tc>
          <w:tcPr>
            <w:tcW w:w="1441" w:type="dxa"/>
            <w:vAlign w:val="center"/>
          </w:tcPr>
          <w:p>
            <w:pPr>
              <w:rPr>
                <w:sz w:val="21"/>
                <w:szCs w:val="21"/>
              </w:rPr>
            </w:pPr>
            <w:r>
              <w:rPr>
                <w:rFonts w:hint="eastAsia"/>
                <w:sz w:val="21"/>
                <w:szCs w:val="21"/>
              </w:rPr>
              <w:t>联系电话</w:t>
            </w:r>
          </w:p>
        </w:tc>
        <w:tc>
          <w:tcPr>
            <w:tcW w:w="1821" w:type="dxa"/>
            <w:gridSpan w:val="2"/>
            <w:vAlign w:val="center"/>
          </w:tcPr>
          <w:p>
            <w:pPr>
              <w:rPr>
                <w:sz w:val="21"/>
                <w:szCs w:val="21"/>
              </w:rPr>
            </w:pPr>
            <w:bookmarkStart w:id="3" w:name="联系人电话"/>
            <w:r>
              <w:rPr>
                <w:sz w:val="21"/>
                <w:szCs w:val="21"/>
              </w:rPr>
              <w:t>15825527618 0571-63160821</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311407</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799" w:type="dxa"/>
            <w:gridSpan w:val="5"/>
            <w:vAlign w:val="center"/>
          </w:tcPr>
          <w:p>
            <w:bookmarkStart w:id="5" w:name="最高管理者"/>
            <w:bookmarkEnd w:id="5"/>
          </w:p>
        </w:tc>
        <w:tc>
          <w:tcPr>
            <w:tcW w:w="1441" w:type="dxa"/>
            <w:vAlign w:val="center"/>
          </w:tcPr>
          <w:p>
            <w:pPr>
              <w:rPr>
                <w:sz w:val="21"/>
                <w:szCs w:val="21"/>
              </w:rPr>
            </w:pPr>
            <w:r>
              <w:rPr>
                <w:rFonts w:hint="eastAsia"/>
                <w:sz w:val="21"/>
                <w:szCs w:val="21"/>
              </w:rPr>
              <w:t>传真</w:t>
            </w:r>
          </w:p>
        </w:tc>
        <w:tc>
          <w:tcPr>
            <w:tcW w:w="1821" w:type="dxa"/>
            <w:gridSpan w:val="2"/>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15825527618@qq.com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799" w:type="dxa"/>
            <w:gridSpan w:val="5"/>
            <w:vAlign w:val="center"/>
          </w:tcPr>
          <w:p>
            <w:pPr>
              <w:rPr>
                <w:sz w:val="20"/>
              </w:rPr>
            </w:pPr>
            <w:bookmarkStart w:id="8" w:name="合同编号"/>
            <w:r>
              <w:rPr>
                <w:sz w:val="20"/>
              </w:rPr>
              <w:t>0175-2021-QEO</w:t>
            </w:r>
            <w:bookmarkEnd w:id="8"/>
          </w:p>
        </w:tc>
        <w:tc>
          <w:tcPr>
            <w:tcW w:w="1441" w:type="dxa"/>
            <w:vAlign w:val="center"/>
          </w:tcPr>
          <w:p>
            <w:pPr>
              <w:rPr>
                <w:sz w:val="20"/>
              </w:rPr>
            </w:pPr>
            <w:r>
              <w:rPr>
                <w:rFonts w:hint="eastAsia"/>
                <w:b/>
                <w:sz w:val="20"/>
              </w:rPr>
              <w:t>审核领域</w:t>
            </w:r>
          </w:p>
        </w:tc>
        <w:tc>
          <w:tcPr>
            <w:tcW w:w="4596" w:type="dxa"/>
            <w:gridSpan w:val="8"/>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12" w:name="审核类型ZB"/>
            <w:r>
              <w:rPr>
                <w:rFonts w:hint="eastAsia" w:ascii="宋体" w:hAnsi="宋体"/>
                <w:b/>
                <w:bCs/>
                <w:sz w:val="20"/>
              </w:rPr>
              <w:t>质量管理体系：再认证</w:t>
            </w:r>
          </w:p>
          <w:p>
            <w:pPr>
              <w:rPr>
                <w:rFonts w:hint="eastAsia" w:ascii="宋体" w:hAnsi="宋体"/>
                <w:b/>
                <w:bCs/>
                <w:sz w:val="20"/>
              </w:rPr>
            </w:pPr>
            <w:r>
              <w:rPr>
                <w:rFonts w:hint="eastAsia" w:ascii="宋体" w:hAnsi="宋体"/>
                <w:b/>
                <w:bCs/>
                <w:sz w:val="20"/>
              </w:rPr>
              <w:t>环境管理体系：再认证</w:t>
            </w:r>
          </w:p>
          <w:p>
            <w:pPr>
              <w:rPr>
                <w:rFonts w:hint="eastAsia" w:ascii="宋体" w:hAnsi="宋体"/>
                <w:b/>
                <w:bCs/>
                <w:sz w:val="20"/>
              </w:rPr>
            </w:pPr>
            <w:r>
              <w:rPr>
                <w:rFonts w:hint="eastAsia" w:ascii="宋体" w:hAnsi="宋体"/>
                <w:b/>
                <w:bCs/>
                <w:sz w:val="20"/>
              </w:rPr>
              <w:t>职业健康安全管理体系：再认证</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420" w:type="dxa"/>
            <w:gridSpan w:val="10"/>
            <w:vAlign w:val="center"/>
          </w:tcPr>
          <w:p>
            <w:pPr>
              <w:rPr>
                <w:sz w:val="20"/>
              </w:rPr>
            </w:pPr>
            <w:bookmarkStart w:id="13" w:name="审核范围"/>
            <w:r>
              <w:rPr>
                <w:sz w:val="20"/>
              </w:rPr>
              <w:t>Q：通信管道、电力管道(非开挖电力管道、PVC电力管道)、玻璃钢管道、PE缠绕管的生产及化粪池的销售</w:t>
            </w:r>
          </w:p>
          <w:p>
            <w:pPr>
              <w:rPr>
                <w:sz w:val="20"/>
              </w:rPr>
            </w:pPr>
            <w:r>
              <w:rPr>
                <w:sz w:val="20"/>
              </w:rPr>
              <w:t>E：通信管道、电力管道(非开挖电力管道、 PVC电力管道)、玻璃钢管道、PE缠绕管的生产及化粪池的销售所涉及场所的相关环境管理活动</w:t>
            </w:r>
          </w:p>
          <w:p>
            <w:pPr>
              <w:rPr>
                <w:sz w:val="20"/>
              </w:rPr>
            </w:pPr>
            <w:r>
              <w:rPr>
                <w:sz w:val="20"/>
              </w:rPr>
              <w:t>O：通信管道、电力管道(非开挖电力管道、 PVC电力管道)、玻璃钢管道、PE缠绕管的生产及化粪池的销售所涉及场所的相关职业健康安全管理活动</w:t>
            </w:r>
            <w:bookmarkEnd w:id="13"/>
          </w:p>
        </w:tc>
        <w:tc>
          <w:tcPr>
            <w:tcW w:w="667"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Q：14.02.01;14.02.04;29.12.00</w:t>
            </w:r>
          </w:p>
          <w:p>
            <w:pPr>
              <w:rPr>
                <w:sz w:val="20"/>
              </w:rPr>
            </w:pPr>
            <w:r>
              <w:rPr>
                <w:sz w:val="20"/>
              </w:rPr>
              <w:t>E：14.02.01;14.02.04;29.12.00</w:t>
            </w:r>
          </w:p>
          <w:p>
            <w:pPr>
              <w:rPr>
                <w:sz w:val="20"/>
              </w:rPr>
            </w:pPr>
            <w:r>
              <w:rPr>
                <w:sz w:val="20"/>
              </w:rPr>
              <w:t>O：14.02.01;14.02.04;29.12.00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2021年04月25日 上午至2021年04月29日 下午 (共5.0天)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199" w:type="dxa"/>
            <w:gridSpan w:val="2"/>
            <w:vAlign w:val="center"/>
          </w:tcPr>
          <w:p>
            <w:pPr>
              <w:jc w:val="center"/>
              <w:rPr>
                <w:sz w:val="20"/>
              </w:rPr>
            </w:pPr>
            <w:r>
              <w:rPr>
                <w:rFonts w:hint="eastAsia"/>
                <w:sz w:val="20"/>
              </w:rPr>
              <w:t>注册资格</w:t>
            </w:r>
          </w:p>
        </w:tc>
        <w:tc>
          <w:tcPr>
            <w:tcW w:w="3621" w:type="dxa"/>
            <w:gridSpan w:val="5"/>
            <w:vAlign w:val="center"/>
          </w:tcPr>
          <w:p>
            <w:pPr>
              <w:jc w:val="center"/>
              <w:rPr>
                <w:sz w:val="20"/>
              </w:rPr>
            </w:pPr>
            <w:r>
              <w:rPr>
                <w:rFonts w:hint="eastAsia"/>
                <w:sz w:val="20"/>
              </w:rPr>
              <w:t>专业代码</w:t>
            </w:r>
          </w:p>
        </w:tc>
        <w:tc>
          <w:tcPr>
            <w:tcW w:w="1275" w:type="dxa"/>
            <w:gridSpan w:val="3"/>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褚敏杰</w:t>
            </w:r>
            <w:r>
              <w:rPr>
                <w:rFonts w:hint="eastAsia"/>
                <w:sz w:val="20"/>
                <w:lang w:val="en-US" w:eastAsia="zh-CN"/>
              </w:rPr>
              <w:t>A</w:t>
            </w:r>
          </w:p>
        </w:tc>
        <w:tc>
          <w:tcPr>
            <w:tcW w:w="1134" w:type="dxa"/>
            <w:gridSpan w:val="2"/>
            <w:vAlign w:val="center"/>
          </w:tcPr>
          <w:p>
            <w:pPr>
              <w:jc w:val="center"/>
              <w:rPr>
                <w:sz w:val="20"/>
              </w:rPr>
            </w:pPr>
            <w:r>
              <w:rPr>
                <w:sz w:val="20"/>
              </w:rPr>
              <w:t>组长</w:t>
            </w:r>
            <w:bookmarkStart w:id="17" w:name="_GoBack"/>
            <w:bookmarkEnd w:id="17"/>
          </w:p>
        </w:tc>
        <w:tc>
          <w:tcPr>
            <w:tcW w:w="709" w:type="dxa"/>
            <w:gridSpan w:val="2"/>
            <w:vAlign w:val="center"/>
          </w:tcPr>
          <w:p>
            <w:pPr>
              <w:jc w:val="center"/>
              <w:rPr>
                <w:sz w:val="20"/>
              </w:rPr>
            </w:pPr>
            <w:r>
              <w:rPr>
                <w:sz w:val="20"/>
              </w:rPr>
              <w:t>男</w:t>
            </w:r>
          </w:p>
        </w:tc>
        <w:tc>
          <w:tcPr>
            <w:tcW w:w="1199"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621" w:type="dxa"/>
            <w:gridSpan w:val="5"/>
            <w:vAlign w:val="center"/>
          </w:tcPr>
          <w:p>
            <w:pPr>
              <w:jc w:val="center"/>
              <w:rPr>
                <w:sz w:val="20"/>
              </w:rPr>
            </w:pPr>
            <w:r>
              <w:rPr>
                <w:sz w:val="20"/>
              </w:rPr>
              <w:t>E:14.02.01,14.02.04,29.12.00</w:t>
            </w:r>
          </w:p>
          <w:p>
            <w:pPr>
              <w:jc w:val="center"/>
              <w:rPr>
                <w:sz w:val="20"/>
              </w:rPr>
            </w:pPr>
            <w:r>
              <w:rPr>
                <w:sz w:val="20"/>
              </w:rPr>
              <w:t>O:29.12.00</w:t>
            </w:r>
          </w:p>
        </w:tc>
        <w:tc>
          <w:tcPr>
            <w:tcW w:w="1275" w:type="dxa"/>
            <w:gridSpan w:val="3"/>
            <w:vAlign w:val="center"/>
          </w:tcPr>
          <w:p>
            <w:pPr>
              <w:jc w:val="center"/>
              <w:rPr>
                <w:sz w:val="20"/>
              </w:rPr>
            </w:pPr>
            <w:r>
              <w:rPr>
                <w:sz w:val="20"/>
              </w:rPr>
              <w:t>15170020221</w:t>
            </w:r>
          </w:p>
        </w:tc>
        <w:tc>
          <w:tcPr>
            <w:tcW w:w="1141" w:type="dxa"/>
            <w:vAlign w:val="center"/>
          </w:tcPr>
          <w:p>
            <w:pPr>
              <w:jc w:val="center"/>
              <w:rPr>
                <w:sz w:val="20"/>
              </w:rPr>
            </w:pPr>
            <w:r>
              <w:rPr>
                <w:sz w:val="20"/>
              </w:rPr>
              <w:t>ISC-68076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章淑薇</w:t>
            </w:r>
            <w:r>
              <w:rPr>
                <w:rFonts w:hint="eastAsia"/>
                <w:sz w:val="20"/>
                <w:lang w:val="en-US" w:eastAsia="zh-CN"/>
              </w:rPr>
              <w:t>B</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199" w:type="dxa"/>
            <w:gridSpan w:val="2"/>
            <w:vAlign w:val="center"/>
          </w:tcPr>
          <w:p>
            <w:pPr>
              <w:jc w:val="center"/>
              <w:rPr>
                <w:sz w:val="20"/>
              </w:rPr>
            </w:pPr>
            <w:r>
              <w:rPr>
                <w:sz w:val="20"/>
              </w:rPr>
              <w:t>Q:专家</w:t>
            </w:r>
          </w:p>
          <w:p>
            <w:pPr>
              <w:jc w:val="center"/>
              <w:rPr>
                <w:sz w:val="20"/>
              </w:rPr>
            </w:pPr>
            <w:r>
              <w:rPr>
                <w:sz w:val="20"/>
              </w:rPr>
              <w:t>E:专家</w:t>
            </w:r>
          </w:p>
          <w:p>
            <w:pPr>
              <w:jc w:val="center"/>
              <w:rPr>
                <w:sz w:val="20"/>
              </w:rPr>
            </w:pPr>
            <w:r>
              <w:rPr>
                <w:sz w:val="20"/>
              </w:rPr>
              <w:t>O:专家</w:t>
            </w:r>
          </w:p>
        </w:tc>
        <w:tc>
          <w:tcPr>
            <w:tcW w:w="3621" w:type="dxa"/>
            <w:gridSpan w:val="5"/>
            <w:vAlign w:val="center"/>
          </w:tcPr>
          <w:p>
            <w:pPr>
              <w:jc w:val="center"/>
              <w:rPr>
                <w:sz w:val="20"/>
              </w:rPr>
            </w:pPr>
            <w:r>
              <w:rPr>
                <w:sz w:val="20"/>
              </w:rPr>
              <w:t>Q:14.02.01,14.02.04,29.12.00</w:t>
            </w:r>
          </w:p>
          <w:p>
            <w:pPr>
              <w:jc w:val="center"/>
              <w:rPr>
                <w:sz w:val="20"/>
              </w:rPr>
            </w:pPr>
            <w:r>
              <w:rPr>
                <w:sz w:val="20"/>
              </w:rPr>
              <w:t>E:14.02.01,14.02.04,29.12.00</w:t>
            </w:r>
          </w:p>
          <w:p>
            <w:pPr>
              <w:jc w:val="center"/>
              <w:rPr>
                <w:sz w:val="20"/>
              </w:rPr>
            </w:pPr>
            <w:r>
              <w:rPr>
                <w:sz w:val="20"/>
              </w:rPr>
              <w:t>O:14.02.01,14.02.04,29.12.00</w:t>
            </w:r>
          </w:p>
        </w:tc>
        <w:tc>
          <w:tcPr>
            <w:tcW w:w="1275" w:type="dxa"/>
            <w:gridSpan w:val="3"/>
            <w:vAlign w:val="center"/>
          </w:tcPr>
          <w:p>
            <w:pPr>
              <w:jc w:val="center"/>
              <w:rPr>
                <w:sz w:val="20"/>
              </w:rPr>
            </w:pPr>
            <w:r>
              <w:rPr>
                <w:sz w:val="20"/>
              </w:rPr>
              <w:t>13758175546</w:t>
            </w:r>
          </w:p>
        </w:tc>
        <w:tc>
          <w:tcPr>
            <w:tcW w:w="1141" w:type="dxa"/>
            <w:vAlign w:val="center"/>
          </w:tcPr>
          <w:p>
            <w:pPr>
              <w:jc w:val="center"/>
              <w:rPr>
                <w:sz w:val="20"/>
              </w:rPr>
            </w:pPr>
            <w:r>
              <w:rPr>
                <w:sz w:val="20"/>
              </w:rPr>
              <w:t>ISC-JSZJ-173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1199" w:type="dxa"/>
            <w:gridSpan w:val="2"/>
            <w:vAlign w:val="center"/>
          </w:tcPr>
          <w:p>
            <w:pPr>
              <w:rPr>
                <w:sz w:val="20"/>
              </w:rPr>
            </w:pPr>
          </w:p>
        </w:tc>
        <w:tc>
          <w:tcPr>
            <w:tcW w:w="3621" w:type="dxa"/>
            <w:gridSpan w:val="5"/>
            <w:vAlign w:val="center"/>
          </w:tcPr>
          <w:p>
            <w:pPr>
              <w:rPr>
                <w:sz w:val="20"/>
              </w:rPr>
            </w:pPr>
          </w:p>
        </w:tc>
        <w:tc>
          <w:tcPr>
            <w:tcW w:w="1275" w:type="dxa"/>
            <w:gridSpan w:val="3"/>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1199" w:type="dxa"/>
            <w:gridSpan w:val="2"/>
            <w:vAlign w:val="center"/>
          </w:tcPr>
          <w:p>
            <w:pPr>
              <w:rPr>
                <w:sz w:val="20"/>
              </w:rPr>
            </w:pPr>
          </w:p>
        </w:tc>
        <w:tc>
          <w:tcPr>
            <w:tcW w:w="3621" w:type="dxa"/>
            <w:gridSpan w:val="5"/>
            <w:vAlign w:val="center"/>
          </w:tcPr>
          <w:p>
            <w:pPr>
              <w:rPr>
                <w:sz w:val="20"/>
              </w:rPr>
            </w:pPr>
          </w:p>
        </w:tc>
        <w:tc>
          <w:tcPr>
            <w:tcW w:w="1275" w:type="dxa"/>
            <w:gridSpan w:val="3"/>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1199" w:type="dxa"/>
            <w:gridSpan w:val="2"/>
            <w:vAlign w:val="center"/>
          </w:tcPr>
          <w:p>
            <w:pPr>
              <w:rPr>
                <w:sz w:val="20"/>
              </w:rPr>
            </w:pPr>
          </w:p>
        </w:tc>
        <w:tc>
          <w:tcPr>
            <w:tcW w:w="3621" w:type="dxa"/>
            <w:gridSpan w:val="5"/>
            <w:vAlign w:val="center"/>
          </w:tcPr>
          <w:p>
            <w:pPr>
              <w:rPr>
                <w:sz w:val="20"/>
              </w:rPr>
            </w:pPr>
          </w:p>
        </w:tc>
        <w:tc>
          <w:tcPr>
            <w:tcW w:w="1275" w:type="dxa"/>
            <w:gridSpan w:val="3"/>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default" w:eastAsia="宋体"/>
                <w:sz w:val="20"/>
                <w:lang w:val="en-US" w:eastAsia="zh-CN"/>
              </w:rPr>
            </w:pPr>
            <w:r>
              <w:rPr>
                <w:rFonts w:hint="eastAsia"/>
                <w:sz w:val="20"/>
                <w:lang w:val="en-US" w:eastAsia="zh-CN"/>
              </w:rPr>
              <w:t>褚敏杰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rFonts w:hint="eastAsia" w:eastAsia="宋体"/>
                <w:sz w:val="20"/>
                <w:lang w:val="en-US" w:eastAsia="zh-CN"/>
              </w:rPr>
            </w:pPr>
            <w:r>
              <w:rPr>
                <w:rFonts w:hint="eastAsia"/>
                <w:sz w:val="20"/>
                <w:lang w:val="en-US" w:eastAsia="zh-CN"/>
              </w:rPr>
              <w:t>李永忠</w:t>
            </w:r>
          </w:p>
        </w:tc>
        <w:tc>
          <w:tcPr>
            <w:tcW w:w="1418" w:type="dxa"/>
            <w:gridSpan w:val="2"/>
            <w:vMerge w:val="restart"/>
            <w:vAlign w:val="center"/>
          </w:tcPr>
          <w:p>
            <w:pPr>
              <w:rPr>
                <w:color w:val="auto"/>
                <w:sz w:val="20"/>
              </w:rPr>
            </w:pPr>
            <w:r>
              <w:rPr>
                <w:rFonts w:hint="eastAsia"/>
                <w:color w:val="auto"/>
                <w:sz w:val="20"/>
              </w:rPr>
              <w:t>受审核方</w:t>
            </w:r>
          </w:p>
          <w:p>
            <w:pPr>
              <w:rPr>
                <w:color w:val="auto"/>
                <w:sz w:val="20"/>
              </w:rPr>
            </w:pPr>
            <w:r>
              <w:rPr>
                <w:rFonts w:hint="eastAsia"/>
                <w:color w:val="auto"/>
                <w:sz w:val="20"/>
              </w:rPr>
              <w:t>签字及公章</w:t>
            </w:r>
          </w:p>
        </w:tc>
        <w:tc>
          <w:tcPr>
            <w:tcW w:w="2599" w:type="dxa"/>
            <w:gridSpan w:val="5"/>
            <w:vMerge w:val="restart"/>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r>
              <w:rPr>
                <w:rFonts w:hint="eastAsia"/>
                <w:sz w:val="20"/>
                <w:lang w:val="en-US" w:eastAsia="zh-CN"/>
              </w:rPr>
              <w:t>15170020221</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2"/>
            <w:vMerge w:val="continue"/>
            <w:vAlign w:val="center"/>
          </w:tcPr>
          <w:p>
            <w:pPr>
              <w:rPr>
                <w:color w:val="auto"/>
                <w:sz w:val="20"/>
              </w:rPr>
            </w:pPr>
          </w:p>
        </w:tc>
        <w:tc>
          <w:tcPr>
            <w:tcW w:w="2599" w:type="dxa"/>
            <w:gridSpan w:val="5"/>
            <w:vMerge w:val="continue"/>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2021.4.20</w:t>
            </w:r>
          </w:p>
        </w:tc>
        <w:tc>
          <w:tcPr>
            <w:tcW w:w="1134" w:type="dxa"/>
            <w:gridSpan w:val="2"/>
            <w:vAlign w:val="center"/>
          </w:tcPr>
          <w:p>
            <w:pPr>
              <w:rPr>
                <w:sz w:val="20"/>
              </w:rPr>
            </w:pPr>
            <w:r>
              <w:rPr>
                <w:rFonts w:hint="eastAsia"/>
                <w:sz w:val="20"/>
              </w:rPr>
              <w:t>日期</w:t>
            </w:r>
          </w:p>
        </w:tc>
        <w:tc>
          <w:tcPr>
            <w:tcW w:w="2126" w:type="dxa"/>
            <w:gridSpan w:val="3"/>
            <w:vAlign w:val="center"/>
          </w:tcPr>
          <w:p>
            <w:pPr>
              <w:rPr>
                <w:rFonts w:hint="default" w:eastAsia="宋体"/>
                <w:sz w:val="20"/>
                <w:lang w:val="en-US" w:eastAsia="zh-CN"/>
              </w:rPr>
            </w:pPr>
            <w:r>
              <w:rPr>
                <w:rFonts w:hint="eastAsia"/>
                <w:sz w:val="20"/>
                <w:lang w:val="en-US" w:eastAsia="zh-CN"/>
              </w:rPr>
              <w:t>2021.4.21</w:t>
            </w:r>
          </w:p>
        </w:tc>
        <w:tc>
          <w:tcPr>
            <w:tcW w:w="1418" w:type="dxa"/>
            <w:gridSpan w:val="2"/>
            <w:vAlign w:val="center"/>
          </w:tcPr>
          <w:p>
            <w:pPr>
              <w:rPr>
                <w:color w:val="auto"/>
                <w:sz w:val="20"/>
              </w:rPr>
            </w:pPr>
            <w:r>
              <w:rPr>
                <w:rFonts w:hint="eastAsia"/>
                <w:color w:val="auto"/>
                <w:sz w:val="20"/>
              </w:rPr>
              <w:t>日期</w:t>
            </w:r>
          </w:p>
        </w:tc>
        <w:tc>
          <w:tcPr>
            <w:tcW w:w="2599" w:type="dxa"/>
            <w:gridSpan w:val="5"/>
            <w:vAlign w:val="center"/>
          </w:tcPr>
          <w:p>
            <w:pPr>
              <w:rPr>
                <w:rFonts w:hint="default" w:eastAsia="宋体"/>
                <w:color w:val="auto"/>
                <w:lang w:val="en-US" w:eastAsia="zh-CN"/>
              </w:rPr>
            </w:pPr>
            <w:r>
              <w:rPr>
                <w:rFonts w:hint="eastAsia"/>
                <w:color w:val="auto"/>
                <w:lang w:val="en-US" w:eastAsia="zh-CN"/>
              </w:rPr>
              <w:t>2021.4.25</w:t>
            </w:r>
          </w:p>
        </w:tc>
      </w:tr>
    </w:tbl>
    <w:p>
      <w:pPr>
        <w:rPr>
          <w:rFonts w:hint="eastAsia" w:ascii="宋体" w:hAnsi="宋体"/>
          <w:b/>
          <w:bCs/>
          <w:sz w:val="30"/>
          <w:szCs w:val="30"/>
        </w:rPr>
      </w:pPr>
      <w:r>
        <w:drawing>
          <wp:anchor distT="0" distB="0" distL="114300" distR="114300" simplePos="0" relativeHeight="251658240" behindDoc="0" locked="0" layoutInCell="1" allowOverlap="1">
            <wp:simplePos x="0" y="0"/>
            <wp:positionH relativeFrom="column">
              <wp:posOffset>-468630</wp:posOffset>
            </wp:positionH>
            <wp:positionV relativeFrom="paragraph">
              <wp:posOffset>-928370</wp:posOffset>
            </wp:positionV>
            <wp:extent cx="7592060" cy="10739755"/>
            <wp:effectExtent l="0" t="0" r="889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592060" cy="10739755"/>
                    </a:xfrm>
                    <a:prstGeom prst="rect">
                      <a:avLst/>
                    </a:prstGeom>
                    <a:noFill/>
                    <a:ln>
                      <a:noFill/>
                    </a:ln>
                  </pic:spPr>
                </pic:pic>
              </a:graphicData>
            </a:graphic>
          </wp:anchor>
        </w:drawing>
      </w:r>
      <w:r>
        <w:rPr>
          <w:rFonts w:hint="eastAsia" w:ascii="宋体" w:hAnsi="宋体"/>
          <w:b/>
          <w:bCs/>
          <w:sz w:val="30"/>
          <w:szCs w:val="30"/>
        </w:rPr>
        <w:br w:type="page"/>
      </w:r>
    </w:p>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426"/>
        <w:gridCol w:w="1347"/>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26"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347"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4.25</w:t>
            </w:r>
          </w:p>
        </w:tc>
        <w:tc>
          <w:tcPr>
            <w:tcW w:w="1426" w:type="dxa"/>
            <w:vAlign w:val="center"/>
          </w:tcPr>
          <w:p>
            <w:pPr>
              <w:snapToGrid w:val="0"/>
              <w:spacing w:line="280" w:lineRule="exact"/>
              <w:jc w:val="center"/>
              <w:rPr>
                <w:rFonts w:hint="default" w:ascii="宋体" w:hAnsi="宋体"/>
                <w:b/>
                <w:bCs/>
                <w:sz w:val="21"/>
                <w:szCs w:val="21"/>
                <w:lang w:val="en-US"/>
              </w:rPr>
            </w:pPr>
            <w:r>
              <w:rPr>
                <w:rFonts w:hint="eastAsia" w:ascii="宋体" w:hAnsi="宋体"/>
                <w:b/>
                <w:bCs/>
                <w:sz w:val="21"/>
                <w:szCs w:val="21"/>
                <w:lang w:val="en-US" w:eastAsia="zh-CN"/>
              </w:rPr>
              <w:t>09:00-09：30</w:t>
            </w:r>
          </w:p>
        </w:tc>
        <w:tc>
          <w:tcPr>
            <w:tcW w:w="6744" w:type="dxa"/>
            <w:gridSpan w:val="3"/>
            <w:vAlign w:val="center"/>
          </w:tcPr>
          <w:p>
            <w:pPr>
              <w:snapToGrid w:val="0"/>
              <w:spacing w:line="280" w:lineRule="exact"/>
              <w:jc w:val="center"/>
              <w:rPr>
                <w:rFonts w:hint="eastAsia" w:ascii="宋体" w:hAnsi="宋体"/>
                <w:b/>
                <w:bCs/>
                <w:sz w:val="21"/>
                <w:szCs w:val="21"/>
              </w:rPr>
            </w:pPr>
            <w:r>
              <w:rPr>
                <w:rFonts w:hint="eastAsia" w:ascii="宋体" w:hAnsi="宋体"/>
                <w:b/>
                <w:bCs/>
                <w:sz w:val="21"/>
                <w:szCs w:val="21"/>
              </w:rPr>
              <w:t>首次会议</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1" w:type="dxa"/>
            <w:vMerge w:val="continue"/>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p>
        </w:tc>
        <w:tc>
          <w:tcPr>
            <w:tcW w:w="1426" w:type="dxa"/>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09:30-10：30</w:t>
            </w:r>
          </w:p>
        </w:tc>
        <w:tc>
          <w:tcPr>
            <w:tcW w:w="1347" w:type="dxa"/>
            <w:vAlign w:val="center"/>
          </w:tcPr>
          <w:p>
            <w:pPr>
              <w:snapToGrid w:val="0"/>
              <w:spacing w:line="280" w:lineRule="exact"/>
              <w:jc w:val="center"/>
              <w:rPr>
                <w:rFonts w:hint="eastAsia" w:ascii="宋体" w:hAnsi="宋体"/>
                <w:b/>
                <w:bCs/>
                <w:sz w:val="21"/>
                <w:szCs w:val="21"/>
              </w:rPr>
            </w:pPr>
            <w:r>
              <w:rPr>
                <w:rFonts w:hint="eastAsia" w:ascii="宋体" w:hAnsi="宋体"/>
                <w:b/>
                <w:bCs/>
                <w:sz w:val="21"/>
                <w:szCs w:val="21"/>
              </w:rPr>
              <w:t>管理层、安全事务代表</w:t>
            </w:r>
          </w:p>
        </w:tc>
        <w:tc>
          <w:tcPr>
            <w:tcW w:w="5397" w:type="dxa"/>
            <w:gridSpan w:val="2"/>
            <w:vAlign w:val="center"/>
          </w:tcPr>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QEO:4.1理解组织及其环境、4.2理解相关方的需求和期望、4.3确定管理体系的范围、4.4质量/环境管理体系及其过程、</w:t>
            </w:r>
            <w:r>
              <w:rPr>
                <w:rFonts w:hint="eastAsia" w:ascii="宋体" w:hAnsi="宋体" w:cs="Arial"/>
                <w:spacing w:val="-6"/>
                <w:sz w:val="21"/>
                <w:szCs w:val="21"/>
                <w:lang w:val="en-US" w:eastAsia="zh-CN"/>
              </w:rPr>
              <w:t>5.1领导作用、</w:t>
            </w:r>
            <w:r>
              <w:rPr>
                <w:rFonts w:hint="eastAsia" w:ascii="宋体" w:hAnsi="宋体" w:cs="Arial"/>
                <w:spacing w:val="-6"/>
                <w:sz w:val="21"/>
                <w:szCs w:val="21"/>
              </w:rPr>
              <w:t>5.2质量/环境/职业健康方针、5.3组织的岗位、职责和权限、6.1应对风险和机遇的措施、6.2质量/环境/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安全目标及其实现的策划、7.1.1（EO7.1）资源总则、7.4沟通/信息交流、9.3管理评审、10.1改进、10.3持续改进</w:t>
            </w:r>
          </w:p>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ascii="宋体" w:hAnsi="宋体" w:cs="Arial"/>
                <w:spacing w:val="-6"/>
                <w:sz w:val="21"/>
                <w:szCs w:val="21"/>
              </w:rPr>
            </w:pPr>
            <w:r>
              <w:rPr>
                <w:rFonts w:hint="eastAsia" w:ascii="宋体" w:hAnsi="宋体" w:cs="Arial"/>
                <w:spacing w:val="-6"/>
                <w:sz w:val="21"/>
                <w:szCs w:val="21"/>
              </w:rPr>
              <w:t>Q6.3变更的策划</w:t>
            </w:r>
          </w:p>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ascii="宋体" w:hAnsi="宋体" w:cs="Arial"/>
                <w:spacing w:val="-6"/>
                <w:sz w:val="21"/>
                <w:szCs w:val="21"/>
              </w:rPr>
            </w:pPr>
            <w:r>
              <w:rPr>
                <w:rFonts w:hint="eastAsia" w:ascii="宋体" w:hAnsi="宋体" w:cs="Arial"/>
                <w:spacing w:val="-6"/>
                <w:sz w:val="21"/>
                <w:szCs w:val="21"/>
              </w:rPr>
              <w:t>Q8.3删减合理性</w:t>
            </w:r>
          </w:p>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ascii="宋体" w:hAnsi="宋体" w:cs="Arial"/>
                <w:spacing w:val="-6"/>
                <w:sz w:val="21"/>
                <w:szCs w:val="21"/>
              </w:rPr>
            </w:pPr>
            <w:r>
              <w:rPr>
                <w:rFonts w:hint="eastAsia" w:ascii="宋体" w:hAnsi="宋体" w:cs="Arial"/>
                <w:spacing w:val="-6"/>
                <w:sz w:val="21"/>
                <w:szCs w:val="21"/>
              </w:rPr>
              <w:t>O5.4协商与参与</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b/>
                <w:bCs/>
                <w:sz w:val="21"/>
                <w:szCs w:val="21"/>
              </w:rPr>
            </w:pPr>
            <w:r>
              <w:rPr>
                <w:rFonts w:hint="eastAsia" w:ascii="宋体" w:hAnsi="宋体" w:eastAsia="宋体" w:cs="Arial"/>
                <w:spacing w:val="-6"/>
                <w:sz w:val="21"/>
                <w:szCs w:val="21"/>
              </w:rPr>
              <w:t>标准/规范/法规的执行情况、上次审核不符合项的验证、认证证书、标志的使用情况、投诉或事故、监督抽查情况、体系变动</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1" w:type="dxa"/>
            <w:vMerge w:val="continue"/>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p>
        </w:tc>
        <w:tc>
          <w:tcPr>
            <w:tcW w:w="1426" w:type="dxa"/>
            <w:vAlign w:val="center"/>
          </w:tcPr>
          <w:p>
            <w:pPr>
              <w:snapToGrid w:val="0"/>
              <w:spacing w:line="280" w:lineRule="exact"/>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10:30-17:30</w:t>
            </w:r>
          </w:p>
          <w:p>
            <w:pPr>
              <w:pStyle w:val="2"/>
              <w:ind w:left="0" w:leftChars="0" w:firstLine="0" w:firstLineChars="0"/>
              <w:jc w:val="center"/>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12:00-12:30午餐</w:t>
            </w:r>
          </w:p>
        </w:tc>
        <w:tc>
          <w:tcPr>
            <w:tcW w:w="1347" w:type="dxa"/>
            <w:vAlign w:val="center"/>
          </w:tcPr>
          <w:p>
            <w:pPr>
              <w:snapToGrid w:val="0"/>
              <w:spacing w:line="280" w:lineRule="exact"/>
              <w:jc w:val="center"/>
              <w:rPr>
                <w:rFonts w:hint="eastAsia" w:ascii="宋体" w:hAnsi="宋体"/>
                <w:b/>
                <w:bCs/>
                <w:sz w:val="21"/>
                <w:szCs w:val="21"/>
              </w:rPr>
            </w:pPr>
            <w:r>
              <w:rPr>
                <w:rFonts w:hint="eastAsia" w:ascii="宋体" w:hAnsi="宋体"/>
                <w:b/>
                <w:bCs/>
                <w:sz w:val="21"/>
                <w:szCs w:val="21"/>
              </w:rPr>
              <w:t>行政部</w:t>
            </w:r>
          </w:p>
        </w:tc>
        <w:tc>
          <w:tcPr>
            <w:tcW w:w="5397" w:type="dxa"/>
            <w:gridSpan w:val="2"/>
            <w:vAlign w:val="center"/>
          </w:tcPr>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hint="default" w:ascii="宋体" w:hAnsi="宋体" w:eastAsia="宋体" w:cs="Arial"/>
                <w:spacing w:val="-6"/>
                <w:sz w:val="21"/>
                <w:szCs w:val="21"/>
                <w:u w:val="none"/>
                <w:lang w:val="en-US" w:eastAsia="zh-CN"/>
              </w:rPr>
            </w:pPr>
            <w:r>
              <w:rPr>
                <w:rFonts w:hint="eastAsia" w:ascii="宋体" w:hAnsi="宋体" w:cs="Arial"/>
                <w:spacing w:val="-6"/>
                <w:sz w:val="21"/>
                <w:szCs w:val="21"/>
                <w:u w:val="none"/>
                <w:lang w:val="en-US" w:eastAsia="zh-CN"/>
              </w:rPr>
              <w:t>A在B的指导下审核：</w:t>
            </w:r>
          </w:p>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ascii="宋体" w:hAnsi="宋体" w:cs="Arial"/>
                <w:spacing w:val="-6"/>
                <w:sz w:val="21"/>
                <w:szCs w:val="21"/>
                <w:u w:val="none"/>
              </w:rPr>
            </w:pPr>
            <w:r>
              <w:rPr>
                <w:rFonts w:hint="eastAsia" w:ascii="宋体" w:hAnsi="宋体" w:cs="Arial"/>
                <w:spacing w:val="-6"/>
                <w:sz w:val="21"/>
                <w:szCs w:val="21"/>
                <w:u w:val="none"/>
              </w:rPr>
              <w:t>Q:5.3组织的岗位、职责和权限、6.2质量目标、</w:t>
            </w:r>
            <w:r>
              <w:rPr>
                <w:rFonts w:hint="eastAsia" w:ascii="宋体" w:hAnsi="宋体" w:cs="Arial"/>
                <w:spacing w:val="-6"/>
                <w:sz w:val="21"/>
                <w:szCs w:val="21"/>
                <w:u w:val="none"/>
                <w:lang w:val="en-US" w:eastAsia="zh-CN"/>
              </w:rPr>
              <w:t>7.1.2人员、</w:t>
            </w:r>
            <w:r>
              <w:rPr>
                <w:rFonts w:hint="eastAsia" w:ascii="宋体" w:hAnsi="宋体" w:cs="Arial"/>
                <w:spacing w:val="-6"/>
                <w:sz w:val="21"/>
                <w:szCs w:val="21"/>
                <w:u w:val="none"/>
              </w:rPr>
              <w:t>7.2能力、</w:t>
            </w:r>
            <w:r>
              <w:rPr>
                <w:rFonts w:hint="eastAsia" w:ascii="宋体" w:hAnsi="宋体" w:cs="Arial"/>
                <w:spacing w:val="-6"/>
                <w:sz w:val="21"/>
                <w:szCs w:val="21"/>
                <w:u w:val="none"/>
                <w:lang w:val="en-US" w:eastAsia="zh-CN"/>
              </w:rPr>
              <w:t>7.3意识、7.5成文信息、7.1.6组织知识、</w:t>
            </w:r>
            <w:r>
              <w:rPr>
                <w:rFonts w:hint="eastAsia" w:ascii="宋体" w:hAnsi="宋体" w:cs="Arial"/>
                <w:spacing w:val="-6"/>
                <w:sz w:val="21"/>
                <w:szCs w:val="21"/>
                <w:u w:val="none"/>
              </w:rPr>
              <w:t>9.1.1监视、测量、分析和评价总则、9.1.3分析与评价、9.2内部审核</w:t>
            </w:r>
            <w:r>
              <w:rPr>
                <w:rFonts w:hint="eastAsia" w:ascii="宋体" w:hAnsi="宋体" w:cs="Arial"/>
                <w:color w:val="auto"/>
                <w:spacing w:val="-6"/>
                <w:sz w:val="21"/>
                <w:szCs w:val="21"/>
              </w:rPr>
              <w:t>、10.2不符合/事件和纠正措施</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eastAsia="宋体"/>
                <w:b/>
                <w:bCs/>
                <w:sz w:val="21"/>
                <w:szCs w:val="21"/>
                <w:lang w:eastAsia="zh-CN"/>
              </w:rPr>
            </w:pPr>
            <w:r>
              <w:rPr>
                <w:rFonts w:hint="eastAsia" w:ascii="宋体" w:hAnsi="宋体" w:cs="Arial"/>
                <w:spacing w:val="-6"/>
                <w:sz w:val="21"/>
                <w:szCs w:val="21"/>
                <w:u w:val="none"/>
              </w:rPr>
              <w:t>E/O:5.3组织的岗位、职责和权限、6.1.2环境因素/危险源的识别与评价、6.1.4措施的策划、</w:t>
            </w:r>
            <w:r>
              <w:rPr>
                <w:rFonts w:hint="eastAsia" w:ascii="宋体" w:hAnsi="宋体" w:cs="Arial"/>
                <w:color w:val="auto"/>
                <w:spacing w:val="-6"/>
                <w:sz w:val="21"/>
                <w:szCs w:val="21"/>
                <w:u w:val="none"/>
              </w:rPr>
              <w:t>6.1.3合规义务、9.1.2合规性评价、</w:t>
            </w:r>
            <w:r>
              <w:rPr>
                <w:rFonts w:hint="eastAsia" w:ascii="宋体" w:hAnsi="宋体" w:cs="Arial"/>
                <w:spacing w:val="-6"/>
                <w:sz w:val="21"/>
                <w:szCs w:val="21"/>
                <w:u w:val="none"/>
              </w:rPr>
              <w:t>6.2环境/职业健康安全目标</w:t>
            </w:r>
            <w:r>
              <w:rPr>
                <w:rFonts w:hint="eastAsia" w:ascii="宋体" w:hAnsi="宋体" w:cs="Arial"/>
                <w:spacing w:val="-6"/>
                <w:sz w:val="21"/>
                <w:szCs w:val="21"/>
                <w:u w:val="none"/>
                <w:lang w:val="en-US" w:eastAsia="zh-CN"/>
              </w:rPr>
              <w:t>及控制的策划</w:t>
            </w:r>
            <w:r>
              <w:rPr>
                <w:rFonts w:hint="eastAsia" w:ascii="宋体" w:hAnsi="宋体" w:cs="Arial"/>
                <w:spacing w:val="-6"/>
                <w:sz w:val="21"/>
                <w:szCs w:val="21"/>
                <w:u w:val="none"/>
              </w:rPr>
              <w:t>、</w:t>
            </w:r>
            <w:r>
              <w:rPr>
                <w:rFonts w:hint="eastAsia" w:ascii="宋体" w:hAnsi="宋体" w:cs="Arial"/>
                <w:spacing w:val="-6"/>
                <w:sz w:val="21"/>
                <w:szCs w:val="21"/>
                <w:u w:val="none"/>
                <w:lang w:val="en-US" w:eastAsia="zh-CN"/>
              </w:rPr>
              <w:t>7.1资源、</w:t>
            </w:r>
            <w:r>
              <w:rPr>
                <w:rFonts w:hint="eastAsia" w:ascii="宋体" w:hAnsi="宋体" w:cs="Arial"/>
                <w:spacing w:val="-6"/>
                <w:sz w:val="21"/>
                <w:szCs w:val="21"/>
                <w:u w:val="none"/>
              </w:rPr>
              <w:t>7.2能力、</w:t>
            </w:r>
            <w:r>
              <w:rPr>
                <w:rFonts w:hint="eastAsia" w:ascii="宋体" w:hAnsi="宋体" w:cs="Arial"/>
                <w:spacing w:val="-6"/>
                <w:sz w:val="21"/>
                <w:szCs w:val="21"/>
                <w:u w:val="none"/>
                <w:lang w:val="en-US" w:eastAsia="zh-CN"/>
              </w:rPr>
              <w:t>7.3意识、7.5成文信息、</w:t>
            </w:r>
            <w:r>
              <w:rPr>
                <w:rFonts w:hint="eastAsia" w:ascii="宋体" w:hAnsi="宋体" w:cs="Arial"/>
                <w:spacing w:val="-6"/>
                <w:sz w:val="21"/>
                <w:szCs w:val="21"/>
                <w:u w:val="none"/>
              </w:rPr>
              <w:t>8.1运行策划和控制</w:t>
            </w:r>
            <w:r>
              <w:rPr>
                <w:rFonts w:hint="eastAsia" w:ascii="宋体" w:hAnsi="宋体" w:cs="Arial"/>
                <w:spacing w:val="-6"/>
                <w:sz w:val="21"/>
                <w:szCs w:val="21"/>
                <w:u w:val="none"/>
                <w:lang w:eastAsia="zh-CN"/>
              </w:rPr>
              <w:t>、</w:t>
            </w:r>
            <w:r>
              <w:rPr>
                <w:rFonts w:hint="eastAsia" w:ascii="宋体" w:hAnsi="宋体" w:cs="Arial"/>
                <w:color w:val="auto"/>
                <w:spacing w:val="-6"/>
                <w:sz w:val="21"/>
                <w:szCs w:val="21"/>
              </w:rPr>
              <w:t>8.2应急准备和响应、</w:t>
            </w:r>
            <w:r>
              <w:rPr>
                <w:rFonts w:hint="eastAsia" w:ascii="宋体" w:hAnsi="宋体" w:cs="Arial"/>
                <w:spacing w:val="-6"/>
                <w:sz w:val="21"/>
                <w:szCs w:val="21"/>
                <w:u w:val="none"/>
              </w:rPr>
              <w:t>9.1.1监视、测量、分析和评价、9.2 内部审</w:t>
            </w:r>
            <w:r>
              <w:rPr>
                <w:rFonts w:hint="eastAsia" w:ascii="宋体" w:hAnsi="宋体" w:cs="Arial"/>
                <w:color w:val="auto"/>
                <w:spacing w:val="-6"/>
                <w:sz w:val="21"/>
                <w:szCs w:val="21"/>
                <w:u w:val="none"/>
              </w:rPr>
              <w:t>核</w:t>
            </w:r>
            <w:r>
              <w:rPr>
                <w:rFonts w:hint="eastAsia" w:ascii="宋体" w:hAnsi="宋体" w:cs="Arial"/>
                <w:color w:val="auto"/>
                <w:spacing w:val="-6"/>
                <w:sz w:val="21"/>
                <w:szCs w:val="21"/>
                <w:u w:val="none"/>
                <w:lang w:eastAsia="zh-CN"/>
              </w:rPr>
              <w:t>、</w:t>
            </w:r>
            <w:r>
              <w:rPr>
                <w:rFonts w:hint="eastAsia" w:ascii="宋体" w:hAnsi="宋体" w:cs="Arial"/>
                <w:color w:val="auto"/>
                <w:spacing w:val="-6"/>
                <w:sz w:val="21"/>
                <w:szCs w:val="21"/>
                <w:lang w:val="en-US" w:eastAsia="zh-CN"/>
              </w:rPr>
              <w:t>10.2不符合、事件和纠正措施</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1" w:type="dxa"/>
            <w:tcBorders>
              <w:left w:val="single" w:color="auto" w:sz="8" w:space="0"/>
            </w:tcBorders>
            <w:vAlign w:val="center"/>
          </w:tcPr>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4.26</w:t>
            </w:r>
          </w:p>
        </w:tc>
        <w:tc>
          <w:tcPr>
            <w:tcW w:w="1426" w:type="dxa"/>
            <w:vAlign w:val="center"/>
          </w:tcPr>
          <w:p>
            <w:pPr>
              <w:snapToGrid w:val="0"/>
              <w:spacing w:line="280" w:lineRule="exact"/>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09:00-17:30</w:t>
            </w:r>
          </w:p>
          <w:p>
            <w:pPr>
              <w:pStyle w:val="2"/>
              <w:ind w:left="0" w:leftChars="0" w:firstLine="0" w:firstLineChars="0"/>
              <w:jc w:val="center"/>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12:00-12:30午餐</w:t>
            </w:r>
          </w:p>
        </w:tc>
        <w:tc>
          <w:tcPr>
            <w:tcW w:w="1347" w:type="dxa"/>
            <w:vAlign w:val="center"/>
          </w:tcPr>
          <w:p>
            <w:pPr>
              <w:snapToGrid w:val="0"/>
              <w:spacing w:line="280" w:lineRule="exact"/>
              <w:jc w:val="center"/>
              <w:rPr>
                <w:rFonts w:hint="eastAsia" w:ascii="宋体" w:hAnsi="宋体"/>
                <w:b/>
                <w:bCs/>
                <w:sz w:val="21"/>
                <w:szCs w:val="21"/>
              </w:rPr>
            </w:pPr>
            <w:r>
              <w:rPr>
                <w:rFonts w:hint="eastAsia" w:ascii="宋体" w:hAnsi="宋体"/>
                <w:b/>
                <w:bCs/>
                <w:sz w:val="21"/>
                <w:szCs w:val="21"/>
              </w:rPr>
              <w:t>生产部</w:t>
            </w:r>
          </w:p>
        </w:tc>
        <w:tc>
          <w:tcPr>
            <w:tcW w:w="5397" w:type="dxa"/>
            <w:gridSpan w:val="2"/>
            <w:vAlign w:val="center"/>
          </w:tcPr>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hint="default" w:ascii="宋体" w:hAnsi="宋体" w:eastAsia="宋体" w:cs="Arial"/>
                <w:spacing w:val="-6"/>
                <w:sz w:val="21"/>
                <w:szCs w:val="21"/>
                <w:u w:val="none"/>
                <w:lang w:val="en-US" w:eastAsia="zh-CN"/>
              </w:rPr>
            </w:pPr>
            <w:r>
              <w:rPr>
                <w:rFonts w:hint="eastAsia" w:ascii="宋体" w:hAnsi="宋体" w:cs="Arial"/>
                <w:spacing w:val="-6"/>
                <w:sz w:val="21"/>
                <w:szCs w:val="21"/>
                <w:u w:val="none"/>
                <w:lang w:val="en-US" w:eastAsia="zh-CN"/>
              </w:rPr>
              <w:t>A在B的指导下审核：</w:t>
            </w:r>
          </w:p>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ascii="宋体" w:hAnsi="宋体" w:cs="Arial"/>
                <w:color w:val="auto"/>
                <w:spacing w:val="-6"/>
                <w:sz w:val="21"/>
                <w:szCs w:val="21"/>
              </w:rPr>
            </w:pPr>
            <w:r>
              <w:rPr>
                <w:rFonts w:hint="eastAsia" w:ascii="宋体" w:hAnsi="宋体" w:cs="Arial"/>
                <w:spacing w:val="-6"/>
                <w:sz w:val="21"/>
                <w:szCs w:val="21"/>
              </w:rPr>
              <w:t>Q:5.3组织的岗位、职责和权限、6.2质量目标、</w:t>
            </w:r>
            <w:r>
              <w:rPr>
                <w:rFonts w:hint="eastAsia" w:ascii="宋体" w:hAnsi="宋体" w:cs="Arial"/>
                <w:spacing w:val="-6"/>
                <w:sz w:val="21"/>
                <w:szCs w:val="21"/>
                <w:lang w:val="en-US" w:eastAsia="zh-CN"/>
              </w:rPr>
              <w:t>7.1.3基础设施、7.1.4运行环境、</w:t>
            </w:r>
            <w:r>
              <w:rPr>
                <w:rFonts w:hint="eastAsia" w:ascii="宋体" w:hAnsi="宋体" w:cs="Arial"/>
                <w:spacing w:val="-6"/>
                <w:sz w:val="21"/>
                <w:szCs w:val="21"/>
              </w:rPr>
              <w:t>8.1运行策划和控制、8.5.1生产和服务提供的控制、8.5.2</w:t>
            </w:r>
            <w:r>
              <w:rPr>
                <w:rFonts w:hint="eastAsia" w:ascii="宋体" w:hAnsi="宋体" w:cs="Arial"/>
                <w:color w:val="auto"/>
                <w:spacing w:val="-6"/>
                <w:sz w:val="21"/>
                <w:szCs w:val="21"/>
              </w:rPr>
              <w:t>产品标识和可追朔性、8.5.4产品防护、8.5.6更改控制、10.2不合格和纠正措施</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b/>
                <w:bCs/>
                <w:sz w:val="21"/>
                <w:szCs w:val="21"/>
              </w:rPr>
            </w:pPr>
            <w:r>
              <w:rPr>
                <w:rFonts w:hint="eastAsia" w:ascii="宋体" w:hAnsi="宋体" w:cs="Arial"/>
                <w:color w:val="auto"/>
                <w:spacing w:val="-6"/>
                <w:sz w:val="21"/>
                <w:szCs w:val="21"/>
              </w:rPr>
              <w:t>E/O:5.3组织的岗位、职责和权限、6.2环境/职业健康安全目标、6.1.2环境因素/危险源的识别与评价、6.1.4措施的策划、8.1运行策划和控制、8.2应急准备和响应</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10.2不符合、事件和纠正措施</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1" w:type="dxa"/>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4.27</w:t>
            </w:r>
          </w:p>
        </w:tc>
        <w:tc>
          <w:tcPr>
            <w:tcW w:w="1426" w:type="dxa"/>
            <w:vAlign w:val="center"/>
          </w:tcPr>
          <w:p>
            <w:pPr>
              <w:snapToGrid w:val="0"/>
              <w:spacing w:line="280" w:lineRule="exact"/>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09:00-17:30</w:t>
            </w:r>
          </w:p>
          <w:p>
            <w:pPr>
              <w:snapToGrid w:val="0"/>
              <w:spacing w:line="280" w:lineRule="exact"/>
              <w:jc w:val="center"/>
              <w:rPr>
                <w:rFonts w:hint="eastAsia" w:ascii="宋体" w:hAnsi="宋体"/>
                <w:b/>
                <w:bCs/>
                <w:sz w:val="21"/>
                <w:szCs w:val="21"/>
              </w:rPr>
            </w:pPr>
            <w:r>
              <w:rPr>
                <w:rFonts w:hint="eastAsia" w:ascii="宋体" w:hAnsi="宋体" w:eastAsia="宋体" w:cs="Times New Roman"/>
                <w:b/>
                <w:bCs/>
                <w:kern w:val="2"/>
                <w:sz w:val="21"/>
                <w:szCs w:val="21"/>
                <w:lang w:val="en-US" w:eastAsia="zh-CN" w:bidi="ar-SA"/>
              </w:rPr>
              <w:t>12:00-12:30午餐</w:t>
            </w:r>
          </w:p>
        </w:tc>
        <w:tc>
          <w:tcPr>
            <w:tcW w:w="1347" w:type="dxa"/>
            <w:vAlign w:val="center"/>
          </w:tcPr>
          <w:p>
            <w:pPr>
              <w:snapToGrid w:val="0"/>
              <w:spacing w:line="280" w:lineRule="exact"/>
              <w:jc w:val="center"/>
              <w:rPr>
                <w:rFonts w:hint="eastAsia" w:ascii="宋体" w:hAnsi="宋体"/>
                <w:b/>
                <w:bCs/>
                <w:sz w:val="21"/>
                <w:szCs w:val="21"/>
              </w:rPr>
            </w:pPr>
            <w:r>
              <w:rPr>
                <w:rFonts w:hint="eastAsia"/>
                <w:b/>
                <w:bCs/>
                <w:sz w:val="22"/>
                <w:szCs w:val="22"/>
                <w:lang w:eastAsia="zh-CN"/>
              </w:rPr>
              <w:t>质检部</w:t>
            </w:r>
          </w:p>
        </w:tc>
        <w:tc>
          <w:tcPr>
            <w:tcW w:w="5397" w:type="dxa"/>
            <w:gridSpan w:val="2"/>
            <w:vAlign w:val="center"/>
          </w:tcPr>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hint="default" w:ascii="宋体" w:hAnsi="宋体" w:eastAsia="宋体" w:cs="Arial"/>
                <w:spacing w:val="-6"/>
                <w:sz w:val="21"/>
                <w:szCs w:val="21"/>
                <w:u w:val="none"/>
                <w:lang w:val="en-US" w:eastAsia="zh-CN"/>
              </w:rPr>
            </w:pPr>
            <w:r>
              <w:rPr>
                <w:rFonts w:hint="eastAsia" w:ascii="宋体" w:hAnsi="宋体" w:cs="Arial"/>
                <w:spacing w:val="-6"/>
                <w:sz w:val="21"/>
                <w:szCs w:val="21"/>
                <w:u w:val="none"/>
                <w:lang w:val="en-US" w:eastAsia="zh-CN"/>
              </w:rPr>
              <w:t>A在B的指导下审核：</w:t>
            </w:r>
          </w:p>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ascii="宋体" w:hAnsi="宋体" w:cs="Arial"/>
                <w:color w:val="0000FF"/>
                <w:spacing w:val="-6"/>
                <w:sz w:val="21"/>
                <w:szCs w:val="21"/>
              </w:rPr>
            </w:pPr>
            <w:r>
              <w:rPr>
                <w:rFonts w:hint="eastAsia" w:ascii="宋体" w:hAnsi="宋体" w:cs="Arial"/>
                <w:spacing w:val="-6"/>
                <w:sz w:val="21"/>
                <w:szCs w:val="21"/>
              </w:rPr>
              <w:t>Q:5.3组织的岗位、职责和权限、6.2质量目标、7.1.5监视和测量资源</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8.1运行策划、8.6放行、8.7不合格品控制、</w:t>
            </w:r>
            <w:r>
              <w:rPr>
                <w:rFonts w:hint="eastAsia" w:ascii="宋体" w:hAnsi="宋体" w:cs="Arial"/>
                <w:color w:val="auto"/>
                <w:spacing w:val="-6"/>
                <w:sz w:val="21"/>
                <w:szCs w:val="21"/>
              </w:rPr>
              <w:t>10.2不合格和纠正措施</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b/>
                <w:bCs/>
                <w:sz w:val="21"/>
                <w:szCs w:val="21"/>
              </w:rPr>
            </w:pPr>
            <w:r>
              <w:rPr>
                <w:rFonts w:hint="eastAsia" w:ascii="宋体" w:hAnsi="宋体" w:cs="Arial"/>
                <w:color w:val="auto"/>
                <w:spacing w:val="-6"/>
                <w:sz w:val="21"/>
                <w:szCs w:val="21"/>
              </w:rPr>
              <w:t>E/O:5.3组织的岗位、职责和权限、6.2环境/职业健康安全目标、6.1.2环境因素/危险源的识别与评价、6.1.4措施的策划、8.1运行策划和控制、8.2应急准备和响应</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10.2不符合、事件和纠正措施；上次不符合验证</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4.28</w:t>
            </w:r>
          </w:p>
        </w:tc>
        <w:tc>
          <w:tcPr>
            <w:tcW w:w="1426" w:type="dxa"/>
            <w:vAlign w:val="center"/>
          </w:tcPr>
          <w:p>
            <w:pPr>
              <w:snapToGrid w:val="0"/>
              <w:spacing w:line="280" w:lineRule="exact"/>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09:00-1</w:t>
            </w: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:30</w:t>
            </w:r>
          </w:p>
          <w:p>
            <w:pPr>
              <w:snapToGrid w:val="0"/>
              <w:spacing w:line="280" w:lineRule="exact"/>
              <w:jc w:val="center"/>
              <w:rPr>
                <w:rFonts w:hint="default" w:ascii="宋体" w:hAnsi="宋体" w:eastAsia="宋体"/>
                <w:b/>
                <w:bCs/>
                <w:sz w:val="21"/>
                <w:szCs w:val="21"/>
                <w:lang w:val="en-US" w:eastAsia="zh-CN"/>
              </w:rPr>
            </w:pPr>
            <w:r>
              <w:rPr>
                <w:rFonts w:hint="eastAsia" w:ascii="宋体" w:hAnsi="宋体" w:eastAsia="宋体" w:cs="Times New Roman"/>
                <w:b/>
                <w:bCs/>
                <w:kern w:val="2"/>
                <w:sz w:val="21"/>
                <w:szCs w:val="21"/>
                <w:lang w:val="en-US" w:eastAsia="zh-CN" w:bidi="ar-SA"/>
              </w:rPr>
              <w:t>12:00-12:30午餐</w:t>
            </w:r>
          </w:p>
        </w:tc>
        <w:tc>
          <w:tcPr>
            <w:tcW w:w="1347" w:type="dxa"/>
            <w:vAlign w:val="center"/>
          </w:tcPr>
          <w:p>
            <w:pPr>
              <w:snapToGrid w:val="0"/>
              <w:spacing w:line="280" w:lineRule="exact"/>
              <w:jc w:val="center"/>
              <w:rPr>
                <w:rFonts w:hint="default" w:ascii="宋体" w:hAnsi="宋体" w:eastAsia="宋体"/>
                <w:b/>
                <w:bCs/>
                <w:sz w:val="21"/>
                <w:szCs w:val="21"/>
                <w:lang w:val="en-US" w:eastAsia="zh-CN"/>
              </w:rPr>
            </w:pPr>
            <w:r>
              <w:rPr>
                <w:rFonts w:hint="eastAsia"/>
                <w:b/>
                <w:bCs/>
                <w:sz w:val="22"/>
                <w:szCs w:val="22"/>
                <w:lang w:eastAsia="zh-CN"/>
              </w:rPr>
              <w:t>销售部</w:t>
            </w:r>
          </w:p>
        </w:tc>
        <w:tc>
          <w:tcPr>
            <w:tcW w:w="5397" w:type="dxa"/>
            <w:gridSpan w:val="2"/>
            <w:vAlign w:val="center"/>
          </w:tcPr>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hint="default" w:ascii="宋体" w:hAnsi="宋体" w:eastAsia="宋体" w:cs="Arial"/>
                <w:spacing w:val="-6"/>
                <w:sz w:val="21"/>
                <w:szCs w:val="21"/>
                <w:u w:val="none"/>
                <w:lang w:val="en-US" w:eastAsia="zh-CN"/>
              </w:rPr>
            </w:pPr>
            <w:r>
              <w:rPr>
                <w:rFonts w:hint="eastAsia" w:ascii="宋体" w:hAnsi="宋体" w:cs="Arial"/>
                <w:spacing w:val="-6"/>
                <w:sz w:val="21"/>
                <w:szCs w:val="21"/>
                <w:u w:val="none"/>
                <w:lang w:val="en-US" w:eastAsia="zh-CN"/>
              </w:rPr>
              <w:t>A在B的指导下审核：</w:t>
            </w:r>
          </w:p>
          <w:p>
            <w:pPr>
              <w:keepNext w:val="0"/>
              <w:keepLines w:val="0"/>
              <w:pageBreakBefore w:val="0"/>
              <w:widowControl w:val="0"/>
              <w:kinsoku/>
              <w:wordWrap/>
              <w:overflowPunct/>
              <w:topLinePunct w:val="0"/>
              <w:autoSpaceDE/>
              <w:autoSpaceDN/>
              <w:bidi w:val="0"/>
              <w:adjustRightInd/>
              <w:spacing w:line="336" w:lineRule="auto"/>
              <w:jc w:val="left"/>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Q:5.3组织的岗位、职责和权限、6.2质量目标、</w:t>
            </w:r>
            <w:r>
              <w:rPr>
                <w:rFonts w:hint="eastAsia" w:ascii="宋体" w:hAnsi="宋体" w:cs="Arial"/>
                <w:color w:val="auto"/>
                <w:spacing w:val="-6"/>
                <w:sz w:val="21"/>
                <w:szCs w:val="21"/>
                <w:lang w:val="en-US" w:eastAsia="zh-CN"/>
              </w:rPr>
              <w:t>8.1、运行策划、</w:t>
            </w:r>
            <w:r>
              <w:rPr>
                <w:rFonts w:hint="eastAsia" w:ascii="宋体" w:hAnsi="宋体" w:eastAsia="宋体" w:cs="Arial"/>
                <w:color w:val="auto"/>
                <w:spacing w:val="-6"/>
                <w:sz w:val="21"/>
                <w:szCs w:val="21"/>
                <w:lang w:val="en-US" w:eastAsia="zh-CN"/>
              </w:rPr>
              <w:t>8.2顾客要求、8.5.3顾客财产、8.5.5交付后活动、9.1.2顾客满意</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b/>
                <w:bCs/>
                <w:sz w:val="21"/>
                <w:szCs w:val="21"/>
              </w:rPr>
            </w:pPr>
            <w:r>
              <w:rPr>
                <w:rFonts w:hint="eastAsia" w:ascii="宋体" w:hAnsi="宋体" w:cs="Arial"/>
                <w:color w:val="auto"/>
                <w:spacing w:val="-6"/>
                <w:sz w:val="21"/>
                <w:szCs w:val="21"/>
              </w:rPr>
              <w:t>E/O:5.3组织的岗位、职责和权限、6.2环境/职业健康安全目标、6.1.2环境因素/危险源的识别与评价、6.1.4措施的策划、8.1运行策划和控制、8.2应急准备和响应</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1" w:type="dxa"/>
            <w:vMerge w:val="continue"/>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p>
        </w:tc>
        <w:tc>
          <w:tcPr>
            <w:tcW w:w="1426" w:type="dxa"/>
            <w:vAlign w:val="center"/>
          </w:tcPr>
          <w:p>
            <w:pPr>
              <w:snapToGrid w:val="0"/>
              <w:spacing w:line="280" w:lineRule="exact"/>
              <w:jc w:val="center"/>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15:30-17：30</w:t>
            </w:r>
          </w:p>
        </w:tc>
        <w:tc>
          <w:tcPr>
            <w:tcW w:w="1347" w:type="dxa"/>
            <w:vAlign w:val="center"/>
          </w:tcPr>
          <w:p>
            <w:pPr>
              <w:snapToGrid w:val="0"/>
              <w:spacing w:line="280" w:lineRule="exact"/>
              <w:jc w:val="center"/>
              <w:rPr>
                <w:rFonts w:hint="default"/>
                <w:b/>
                <w:bCs/>
                <w:sz w:val="22"/>
                <w:szCs w:val="22"/>
                <w:lang w:val="en-US" w:eastAsia="zh-CN"/>
              </w:rPr>
            </w:pPr>
            <w:r>
              <w:rPr>
                <w:rFonts w:hint="eastAsia"/>
                <w:b/>
                <w:bCs/>
                <w:sz w:val="22"/>
                <w:szCs w:val="22"/>
                <w:lang w:val="en-US" w:eastAsia="zh-CN"/>
              </w:rPr>
              <w:t>财务部</w:t>
            </w:r>
          </w:p>
        </w:tc>
        <w:tc>
          <w:tcPr>
            <w:tcW w:w="5397" w:type="dxa"/>
            <w:gridSpan w:val="2"/>
            <w:vAlign w:val="center"/>
          </w:tcPr>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hint="default" w:ascii="宋体" w:hAnsi="宋体" w:eastAsia="宋体" w:cs="Arial"/>
                <w:spacing w:val="-6"/>
                <w:sz w:val="21"/>
                <w:szCs w:val="21"/>
                <w:u w:val="none"/>
                <w:lang w:val="en-US" w:eastAsia="zh-CN"/>
              </w:rPr>
            </w:pPr>
            <w:r>
              <w:rPr>
                <w:rFonts w:hint="eastAsia" w:ascii="宋体" w:hAnsi="宋体" w:cs="Arial"/>
                <w:spacing w:val="-6"/>
                <w:sz w:val="21"/>
                <w:szCs w:val="21"/>
                <w:u w:val="none"/>
                <w:lang w:val="en-US" w:eastAsia="zh-CN"/>
              </w:rPr>
              <w:t>A在B的指导下审核：</w:t>
            </w:r>
          </w:p>
          <w:p>
            <w:pPr>
              <w:keepNext w:val="0"/>
              <w:keepLines w:val="0"/>
              <w:pageBreakBefore w:val="0"/>
              <w:widowControl w:val="0"/>
              <w:kinsoku/>
              <w:wordWrap/>
              <w:overflowPunct/>
              <w:topLinePunct w:val="0"/>
              <w:autoSpaceDE/>
              <w:autoSpaceDN/>
              <w:bidi w:val="0"/>
              <w:adjustRightInd/>
              <w:spacing w:line="336" w:lineRule="auto"/>
              <w:jc w:val="left"/>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Q:5.3组织的岗位、职责和权限、6.2质量目标、</w:t>
            </w:r>
            <w:r>
              <w:rPr>
                <w:rFonts w:hint="eastAsia" w:ascii="宋体" w:hAnsi="宋体" w:cs="Arial"/>
                <w:color w:val="auto"/>
                <w:spacing w:val="-6"/>
                <w:sz w:val="21"/>
                <w:szCs w:val="21"/>
                <w:lang w:val="en-US" w:eastAsia="zh-CN"/>
              </w:rPr>
              <w:t>7.1资源</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cs="Arial"/>
                <w:color w:val="auto"/>
                <w:spacing w:val="-6"/>
                <w:sz w:val="21"/>
                <w:szCs w:val="21"/>
              </w:rPr>
            </w:pPr>
            <w:r>
              <w:rPr>
                <w:rFonts w:hint="eastAsia" w:ascii="宋体" w:hAnsi="宋体" w:cs="Arial"/>
                <w:color w:val="auto"/>
                <w:spacing w:val="-6"/>
                <w:sz w:val="21"/>
                <w:szCs w:val="21"/>
              </w:rPr>
              <w:t>E/O:5.3组织的岗位、职责和权限、6.2环境/职业健康安全目标、6.1.2环境因素/危险源的识别与评价、6.1.4措施的策划、</w:t>
            </w:r>
            <w:r>
              <w:rPr>
                <w:rFonts w:hint="eastAsia" w:ascii="宋体" w:hAnsi="宋体" w:cs="Arial"/>
                <w:color w:val="auto"/>
                <w:spacing w:val="-6"/>
                <w:sz w:val="21"/>
                <w:szCs w:val="21"/>
                <w:lang w:val="en-US" w:eastAsia="zh-CN"/>
              </w:rPr>
              <w:t>7.1资源、</w:t>
            </w:r>
            <w:r>
              <w:rPr>
                <w:rFonts w:hint="eastAsia" w:ascii="宋体" w:hAnsi="宋体" w:cs="Arial"/>
                <w:color w:val="auto"/>
                <w:spacing w:val="-6"/>
                <w:sz w:val="21"/>
                <w:szCs w:val="21"/>
              </w:rPr>
              <w:t>8.1运行策划和控制、8.2应急准备和响应</w:t>
            </w:r>
          </w:p>
        </w:tc>
        <w:tc>
          <w:tcPr>
            <w:tcW w:w="1196" w:type="dxa"/>
            <w:tcBorders>
              <w:right w:val="single" w:color="auto" w:sz="8" w:space="0"/>
            </w:tcBorders>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4.29</w:t>
            </w:r>
          </w:p>
        </w:tc>
        <w:tc>
          <w:tcPr>
            <w:tcW w:w="1426" w:type="dxa"/>
            <w:vAlign w:val="center"/>
          </w:tcPr>
          <w:p>
            <w:pPr>
              <w:snapToGrid w:val="0"/>
              <w:spacing w:line="280" w:lineRule="exact"/>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08:00-12：00</w:t>
            </w:r>
          </w:p>
          <w:p>
            <w:pPr>
              <w:snapToGrid w:val="0"/>
              <w:spacing w:line="280" w:lineRule="exact"/>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12:00-12:30</w:t>
            </w:r>
          </w:p>
          <w:p>
            <w:pPr>
              <w:snapToGrid w:val="0"/>
              <w:spacing w:line="280" w:lineRule="exact"/>
              <w:jc w:val="center"/>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午餐</w:t>
            </w:r>
          </w:p>
        </w:tc>
        <w:tc>
          <w:tcPr>
            <w:tcW w:w="1347" w:type="dxa"/>
            <w:vAlign w:val="center"/>
          </w:tcPr>
          <w:p>
            <w:pPr>
              <w:snapToGrid w:val="0"/>
              <w:spacing w:line="280" w:lineRule="exact"/>
              <w:jc w:val="center"/>
              <w:rPr>
                <w:rFonts w:hint="default"/>
                <w:b/>
                <w:bCs/>
                <w:sz w:val="22"/>
                <w:szCs w:val="22"/>
                <w:lang w:val="en-US" w:eastAsia="zh-CN"/>
              </w:rPr>
            </w:pPr>
            <w:r>
              <w:rPr>
                <w:rFonts w:hint="eastAsia"/>
                <w:b/>
                <w:bCs/>
                <w:sz w:val="22"/>
                <w:szCs w:val="22"/>
                <w:lang w:val="en-US" w:eastAsia="zh-CN"/>
              </w:rPr>
              <w:t>采购部</w:t>
            </w:r>
          </w:p>
        </w:tc>
        <w:tc>
          <w:tcPr>
            <w:tcW w:w="5397" w:type="dxa"/>
            <w:gridSpan w:val="2"/>
            <w:vAlign w:val="center"/>
          </w:tcPr>
          <w:p>
            <w:pPr>
              <w:keepNext w:val="0"/>
              <w:keepLines w:val="0"/>
              <w:pageBreakBefore w:val="0"/>
              <w:widowControl w:val="0"/>
              <w:kinsoku/>
              <w:wordWrap/>
              <w:overflowPunct/>
              <w:topLinePunct w:val="0"/>
              <w:autoSpaceDE/>
              <w:autoSpaceDN/>
              <w:bidi w:val="0"/>
              <w:adjustRightInd/>
              <w:snapToGrid w:val="0"/>
              <w:spacing w:line="336" w:lineRule="auto"/>
              <w:ind w:right="120" w:rightChars="50"/>
              <w:jc w:val="left"/>
              <w:textAlignment w:val="auto"/>
              <w:rPr>
                <w:rFonts w:hint="default" w:ascii="宋体" w:hAnsi="宋体" w:eastAsia="宋体" w:cs="Arial"/>
                <w:spacing w:val="-6"/>
                <w:sz w:val="21"/>
                <w:szCs w:val="21"/>
                <w:u w:val="none"/>
                <w:lang w:val="en-US" w:eastAsia="zh-CN"/>
              </w:rPr>
            </w:pPr>
            <w:r>
              <w:rPr>
                <w:rFonts w:hint="eastAsia" w:ascii="宋体" w:hAnsi="宋体" w:cs="Arial"/>
                <w:spacing w:val="-6"/>
                <w:sz w:val="21"/>
                <w:szCs w:val="21"/>
                <w:u w:val="none"/>
                <w:lang w:val="en-US" w:eastAsia="zh-CN"/>
              </w:rPr>
              <w:t>A在B的指导下审核：</w:t>
            </w:r>
          </w:p>
          <w:p>
            <w:pPr>
              <w:keepNext w:val="0"/>
              <w:keepLines w:val="0"/>
              <w:pageBreakBefore w:val="0"/>
              <w:widowControl w:val="0"/>
              <w:kinsoku/>
              <w:wordWrap/>
              <w:overflowPunct/>
              <w:topLinePunct w:val="0"/>
              <w:autoSpaceDE/>
              <w:autoSpaceDN/>
              <w:bidi w:val="0"/>
              <w:adjustRightInd/>
              <w:spacing w:line="336" w:lineRule="auto"/>
              <w:jc w:val="left"/>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Q:5.3组织的岗位、职责和权限、6.2质量目标、</w:t>
            </w:r>
            <w:r>
              <w:rPr>
                <w:rFonts w:hint="eastAsia" w:ascii="宋体" w:hAnsi="宋体" w:eastAsia="宋体" w:cs="Arial"/>
                <w:color w:val="auto"/>
                <w:spacing w:val="-6"/>
                <w:sz w:val="21"/>
                <w:szCs w:val="21"/>
                <w:lang w:val="en-US" w:eastAsia="zh-CN"/>
              </w:rPr>
              <w:t>8.4外部提供过程、产品和服务的控制</w:t>
            </w:r>
          </w:p>
          <w:p>
            <w:pPr>
              <w:pStyle w:val="2"/>
              <w:keepNext w:val="0"/>
              <w:keepLines w:val="0"/>
              <w:pageBreakBefore w:val="0"/>
              <w:widowControl w:val="0"/>
              <w:kinsoku/>
              <w:wordWrap/>
              <w:overflowPunct/>
              <w:topLinePunct w:val="0"/>
              <w:autoSpaceDE/>
              <w:autoSpaceDN/>
              <w:bidi w:val="0"/>
              <w:adjustRightInd/>
              <w:spacing w:after="0" w:afterLines="0" w:line="336" w:lineRule="auto"/>
              <w:ind w:left="0" w:leftChars="0" w:firstLine="0" w:firstLineChars="0"/>
              <w:textAlignment w:val="auto"/>
              <w:rPr>
                <w:rFonts w:hint="default"/>
                <w:lang w:val="en-US" w:eastAsia="zh-CN"/>
              </w:rPr>
            </w:pPr>
            <w:r>
              <w:rPr>
                <w:rFonts w:hint="eastAsia" w:ascii="宋体" w:hAnsi="宋体" w:cs="Arial"/>
                <w:color w:val="auto"/>
                <w:spacing w:val="-6"/>
                <w:sz w:val="21"/>
                <w:szCs w:val="21"/>
              </w:rPr>
              <w:t>E/O:5.3组织的岗位、职责和权限、6.2环境/职业健康安全目标、6.1.2环境因素/危险源的识别与评价、6.1.4措施的策划、8.1运行策划和控制、8.2应急准备和响应</w:t>
            </w:r>
          </w:p>
        </w:tc>
        <w:tc>
          <w:tcPr>
            <w:tcW w:w="1196" w:type="dxa"/>
            <w:tcBorders>
              <w:right w:val="single" w:color="auto" w:sz="8" w:space="0"/>
            </w:tcBorders>
            <w:vAlign w:val="center"/>
          </w:tcPr>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1" w:type="dxa"/>
            <w:vMerge w:val="continue"/>
            <w:tcBorders>
              <w:left w:val="single" w:color="auto" w:sz="8" w:space="0"/>
            </w:tcBorders>
            <w:vAlign w:val="center"/>
          </w:tcPr>
          <w:p>
            <w:pPr>
              <w:snapToGrid w:val="0"/>
              <w:spacing w:line="280" w:lineRule="exact"/>
              <w:jc w:val="center"/>
              <w:rPr>
                <w:rFonts w:hint="default" w:ascii="宋体" w:hAnsi="宋体"/>
                <w:b/>
                <w:bCs/>
                <w:sz w:val="21"/>
                <w:szCs w:val="21"/>
                <w:lang w:val="en-US" w:eastAsia="zh-CN"/>
              </w:rPr>
            </w:pPr>
          </w:p>
        </w:tc>
        <w:tc>
          <w:tcPr>
            <w:tcW w:w="1426" w:type="dxa"/>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12:30-16：30</w:t>
            </w:r>
          </w:p>
        </w:tc>
        <w:tc>
          <w:tcPr>
            <w:tcW w:w="6744" w:type="dxa"/>
            <w:gridSpan w:val="3"/>
            <w:vAlign w:val="center"/>
          </w:tcPr>
          <w:p>
            <w:pPr>
              <w:snapToGrid w:val="0"/>
              <w:spacing w:line="28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管理层交流/末次会议</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47054F"/>
    <w:rsid w:val="157C461A"/>
    <w:rsid w:val="22DC7D6F"/>
    <w:rsid w:val="259F5653"/>
    <w:rsid w:val="5F9813A8"/>
    <w:rsid w:val="6CC15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6</TotalTime>
  <ScaleCrop>false</ScaleCrop>
  <LinksUpToDate>false</LinksUpToDate>
  <CharactersWithSpaces>1266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lenovo1018</cp:lastModifiedBy>
  <dcterms:modified xsi:type="dcterms:W3CDTF">2021-04-28T07:21:17Z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