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十堰安恒汽车零部件有限公司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O:22.03.01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E:22.03.01</w:t>
            </w:r>
          </w:p>
          <w:p>
            <w:pPr>
              <w:spacing w:line="240" w:lineRule="exact"/>
              <w:jc w:val="center"/>
              <w:rPr>
                <w:b/>
                <w:color w:val="000000" w:themeColor="text1"/>
                <w:sz w:val="20"/>
                <w:szCs w:val="20"/>
              </w:rPr>
            </w:pPr>
            <w:r>
              <w:rPr>
                <w:b/>
                <w:color w:val="000000" w:themeColor="text1"/>
                <w:sz w:val="20"/>
                <w:szCs w:val="20"/>
              </w:rPr>
              <w:t>O:22.03.01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十堰安恒汽车零部件有限公司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十堰经济开发区白浪东路11号2幢（1-3）-1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十堰经济开发区白浪东路11号2幢（1-3）-1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李全强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13397280905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李全强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郭世勇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E：汽车用油量传感器、中控锁、翘班开关的组装所涉及场所的相关环境管理活动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O：汽车用油量传感器、中控锁、翘班开关的组装所涉及场所相关的职业健康安全管理活动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E：22.03.01</w:t>
            </w:r>
          </w:p>
          <w:p>
            <w:pPr>
              <w:spacing w:line="320" w:lineRule="exact"/>
              <w:rPr>
                <w:rFonts w:ascii="宋体" w:hAnsi="宋体"/>
                <w:b/>
                <w:color w:val="000000" w:themeColor="text1"/>
                <w:sz w:val="20"/>
                <w:szCs w:val="20"/>
              </w:rPr>
            </w:pPr>
            <w:r>
              <w:rPr>
                <w:rFonts w:ascii="宋体" w:hAnsi="宋体"/>
                <w:b/>
                <w:color w:val="000000" w:themeColor="text1"/>
                <w:sz w:val="20"/>
                <w:szCs w:val="20"/>
              </w:rPr>
              <w:t>O：22.03.01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2020-07-30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eastAsia="宋体"/>
                <w:b w:val="0"/>
                <w:bCs w:val="0"/>
                <w:color w:val="000000" w:themeColor="text1"/>
                <w:sz w:val="20"/>
                <w:szCs w:val="20"/>
                <w:lang w:val="en-US" w:eastAsia="zh-CN"/>
              </w:rPr>
            </w:pPr>
            <w:r>
              <w:rPr>
                <w:rFonts w:ascii="宋体" w:hAnsi="宋体"/>
                <w:b w:val="0"/>
                <w:bCs w:val="0"/>
                <w:color w:val="000000" w:themeColor="text1"/>
                <w:sz w:val="20"/>
                <w:szCs w:val="20"/>
              </w:rPr>
              <w:t>管理层</w:t>
            </w:r>
            <w:r>
              <w:rPr>
                <w:rFonts w:hint="eastAsia" w:ascii="宋体" w:hAnsi="宋体"/>
                <w:b w:val="0"/>
                <w:bCs w:val="0"/>
                <w:color w:val="000000" w:themeColor="text1"/>
                <w:sz w:val="20"/>
                <w:szCs w:val="20"/>
                <w:lang w:eastAsia="zh-CN"/>
              </w:rPr>
              <w:t>（</w:t>
            </w:r>
            <w:r>
              <w:rPr>
                <w:rFonts w:hint="eastAsia" w:ascii="宋体" w:hAnsi="宋体"/>
                <w:b w:val="0"/>
                <w:bCs w:val="0"/>
                <w:color w:val="000000" w:themeColor="text1"/>
                <w:sz w:val="20"/>
                <w:szCs w:val="20"/>
                <w:lang w:val="en-US" w:eastAsia="zh-CN"/>
              </w:rPr>
              <w:t>含员工代表）</w:t>
            </w:r>
          </w:p>
        </w:tc>
        <w:tc>
          <w:tcPr>
            <w:tcW w:w="6804" w:type="dxa"/>
          </w:tcPr>
          <w:p>
            <w:pPr>
              <w:spacing w:line="300" w:lineRule="exact"/>
              <w:rPr>
                <w:rFonts w:ascii="宋体" w:hAnsi="宋体" w:eastAsia="宋体" w:cs="Times New Roman"/>
                <w:b w:val="0"/>
                <w:bCs w:val="0"/>
                <w:sz w:val="18"/>
                <w:szCs w:val="18"/>
              </w:rPr>
            </w:pPr>
            <w:r>
              <w:rPr>
                <w:rFonts w:ascii="宋体" w:hAnsi="宋体" w:eastAsia="宋体" w:cs="Times New Roman"/>
                <w:b w:val="0"/>
                <w:bCs w:val="0"/>
                <w:sz w:val="18"/>
                <w:szCs w:val="18"/>
              </w:rPr>
              <w:t>组织及其环境；相关方的需求和希望；管理体系的范围；管理体系及其过程；管理方针；组织的岗位、职责权限；应对风险和机会的策划；目标和实现计划；资源提供；</w:t>
            </w:r>
            <w:r>
              <w:rPr>
                <w:rFonts w:hint="eastAsia" w:ascii="宋体" w:hAnsi="宋体" w:eastAsia="宋体" w:cs="Times New Roman"/>
                <w:b w:val="0"/>
                <w:bCs w:val="0"/>
                <w:sz w:val="18"/>
                <w:szCs w:val="18"/>
              </w:rPr>
              <w:t>合规义务；</w:t>
            </w:r>
            <w:r>
              <w:rPr>
                <w:rFonts w:ascii="宋体" w:hAnsi="宋体" w:eastAsia="宋体" w:cs="Times New Roman"/>
                <w:b w:val="0"/>
                <w:bCs w:val="0"/>
                <w:sz w:val="18"/>
                <w:szCs w:val="18"/>
              </w:rPr>
              <w:t>危险源辨识、风险评价；监视和测量总则；管理评审；总则；持续改进</w:t>
            </w:r>
          </w:p>
          <w:p>
            <w:pPr>
              <w:spacing w:line="300" w:lineRule="exact"/>
              <w:rPr>
                <w:rFonts w:ascii="宋体" w:hAnsi="宋体" w:eastAsia="宋体" w:cs="Times New Roman"/>
                <w:b w:val="0"/>
                <w:bCs w:val="0"/>
                <w:sz w:val="18"/>
                <w:szCs w:val="18"/>
              </w:rPr>
            </w:pPr>
            <w:r>
              <w:rPr>
                <w:rFonts w:hint="eastAsia" w:ascii="宋体" w:hAnsi="宋体" w:eastAsia="宋体" w:cs="Times New Roman"/>
                <w:b w:val="0"/>
                <w:bCs w:val="0"/>
                <w:sz w:val="18"/>
                <w:szCs w:val="18"/>
              </w:rPr>
              <w:t>资质验证/范围再确认/</w:t>
            </w:r>
            <w:r>
              <w:rPr>
                <w:rFonts w:hint="eastAsia" w:ascii="宋体" w:hAnsi="宋体" w:eastAsia="宋体" w:cs="Times New Roman"/>
                <w:b w:val="0"/>
                <w:bCs w:val="0"/>
                <w:sz w:val="18"/>
                <w:szCs w:val="18"/>
                <w:lang w:val="en-US" w:eastAsia="zh-CN"/>
              </w:rPr>
              <w:t>上次审核</w:t>
            </w:r>
            <w:r>
              <w:rPr>
                <w:rFonts w:hint="eastAsia" w:ascii="宋体" w:hAnsi="宋体" w:eastAsia="宋体" w:cs="Times New Roman"/>
                <w:b w:val="0"/>
                <w:bCs w:val="0"/>
                <w:sz w:val="18"/>
                <w:szCs w:val="18"/>
              </w:rPr>
              <w:t>问题验证/投诉或事故/政府主管部门监督抽查情况</w:t>
            </w:r>
          </w:p>
          <w:p>
            <w:pPr>
              <w:spacing w:line="300" w:lineRule="exact"/>
              <w:rPr>
                <w:rFonts w:ascii="宋体" w:hAnsi="宋体" w:eastAsia="宋体" w:cs="Times New Roman"/>
                <w:b w:val="0"/>
                <w:bCs w:val="0"/>
                <w:sz w:val="18"/>
                <w:szCs w:val="18"/>
              </w:rPr>
            </w:pPr>
            <w:r>
              <w:rPr>
                <w:rFonts w:hint="eastAsia" w:ascii="宋体" w:hAnsi="宋体" w:eastAsia="宋体" w:cs="Times New Roman"/>
                <w:b w:val="0"/>
                <w:bCs w:val="0"/>
                <w:sz w:val="18"/>
                <w:szCs w:val="18"/>
                <w:lang w:val="en-US" w:eastAsia="zh-CN"/>
              </w:rPr>
              <w:t>E</w:t>
            </w:r>
            <w:r>
              <w:rPr>
                <w:rFonts w:hint="eastAsia" w:ascii="宋体" w:hAnsi="宋体" w:eastAsia="宋体" w:cs="Times New Roman"/>
                <w:b w:val="0"/>
                <w:bCs w:val="0"/>
                <w:sz w:val="18"/>
                <w:szCs w:val="18"/>
              </w:rPr>
              <w:t>S</w:t>
            </w:r>
            <w:r>
              <w:rPr>
                <w:rFonts w:ascii="宋体" w:hAnsi="宋体" w:eastAsia="宋体" w:cs="Times New Roman"/>
                <w:b w:val="0"/>
                <w:bCs w:val="0"/>
                <w:sz w:val="18"/>
                <w:szCs w:val="18"/>
              </w:rPr>
              <w:t xml:space="preserve">:4.1/4.2/4.3/4.4/5.1/5.2/5.3/6.1/6.2/7.1/9.1.1/9.3/10.1/10.3 </w:t>
            </w:r>
          </w:p>
          <w:p>
            <w:pPr>
              <w:jc w:val="left"/>
              <w:rPr>
                <w:rFonts w:ascii="宋体" w:hAnsi="宋体"/>
                <w:b w:val="0"/>
                <w:bCs w:val="0"/>
                <w:color w:val="000000" w:themeColor="text1"/>
                <w:spacing w:val="-20"/>
                <w:sz w:val="20"/>
                <w:szCs w:val="20"/>
                <w:u w:val="single"/>
              </w:rPr>
            </w:pPr>
            <w:r>
              <w:rPr>
                <w:rFonts w:hint="eastAsia" w:ascii="宋体" w:hAnsi="宋体" w:eastAsia="宋体" w:cs="Times New Roman"/>
                <w:b w:val="0"/>
                <w:bCs w:val="0"/>
                <w:sz w:val="18"/>
                <w:szCs w:val="18"/>
              </w:rPr>
              <w:t>S</w:t>
            </w:r>
            <w:r>
              <w:rPr>
                <w:rFonts w:ascii="宋体" w:hAnsi="宋体" w:eastAsia="宋体" w:cs="Times New Roman"/>
                <w:b w:val="0"/>
                <w:bCs w:val="0"/>
                <w:sz w:val="18"/>
                <w:szCs w:val="18"/>
              </w:rPr>
              <w:t>:</w:t>
            </w:r>
            <w:r>
              <w:rPr>
                <w:rFonts w:hint="eastAsia" w:ascii="宋体" w:hAnsi="宋体" w:eastAsia="宋体" w:cs="Times New Roman"/>
                <w:b w:val="0"/>
                <w:bCs w:val="0"/>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eastAsia="宋体"/>
                <w:b w:val="0"/>
                <w:bCs w:val="0"/>
                <w:color w:val="000000" w:themeColor="text1"/>
                <w:sz w:val="20"/>
                <w:szCs w:val="20"/>
                <w:lang w:val="en-US" w:eastAsia="zh-CN"/>
              </w:rPr>
            </w:pPr>
            <w:r>
              <w:rPr>
                <w:rFonts w:hint="eastAsia" w:ascii="宋体" w:hAnsi="宋体"/>
                <w:b w:val="0"/>
                <w:bCs w:val="0"/>
                <w:color w:val="000000" w:themeColor="text1"/>
                <w:sz w:val="20"/>
                <w:szCs w:val="20"/>
              </w:rPr>
              <w:t>综合部</w:t>
            </w:r>
            <w:r>
              <w:rPr>
                <w:rFonts w:hint="eastAsia" w:ascii="宋体" w:hAnsi="宋体"/>
                <w:b w:val="0"/>
                <w:bCs w:val="0"/>
                <w:color w:val="000000" w:themeColor="text1"/>
                <w:sz w:val="20"/>
                <w:szCs w:val="20"/>
                <w:lang w:eastAsia="zh-CN"/>
              </w:rPr>
              <w:t>（</w:t>
            </w:r>
            <w:r>
              <w:rPr>
                <w:rFonts w:hint="eastAsia" w:ascii="宋体" w:hAnsi="宋体"/>
                <w:b w:val="0"/>
                <w:bCs w:val="0"/>
                <w:color w:val="000000" w:themeColor="text1"/>
                <w:sz w:val="20"/>
                <w:szCs w:val="20"/>
                <w:lang w:val="en-US" w:eastAsia="zh-CN"/>
              </w:rPr>
              <w:t>含财务）</w:t>
            </w:r>
          </w:p>
        </w:tc>
        <w:tc>
          <w:tcPr>
            <w:tcW w:w="6804" w:type="dxa"/>
          </w:tcPr>
          <w:p>
            <w:pPr>
              <w:spacing w:line="300" w:lineRule="exact"/>
              <w:rPr>
                <w:rFonts w:ascii="宋体" w:hAnsi="宋体" w:eastAsia="宋体" w:cs="Times New Roman"/>
                <w:b w:val="0"/>
                <w:bCs w:val="0"/>
                <w:sz w:val="18"/>
                <w:szCs w:val="18"/>
              </w:rPr>
            </w:pPr>
            <w:r>
              <w:rPr>
                <w:rFonts w:ascii="宋体" w:hAnsi="宋体" w:eastAsia="宋体" w:cs="Times New Roman"/>
                <w:b w:val="0"/>
                <w:bCs w:val="0"/>
                <w:sz w:val="18"/>
                <w:szCs w:val="18"/>
              </w:rPr>
              <w:t>目标、组织的岗位、职责权限；能力、培训和意识；信息交流、沟通参与和协商；文件总则、文件和记录控制；运行控制；内部审核；事件、不合格</w:t>
            </w:r>
            <w:r>
              <w:rPr>
                <w:rFonts w:hint="eastAsia" w:ascii="宋体" w:hAnsi="宋体" w:eastAsia="宋体" w:cs="Times New Roman"/>
                <w:b w:val="0"/>
                <w:bCs w:val="0"/>
                <w:sz w:val="18"/>
                <w:szCs w:val="18"/>
              </w:rPr>
              <w:t>和</w:t>
            </w:r>
            <w:r>
              <w:rPr>
                <w:rFonts w:ascii="宋体" w:hAnsi="宋体" w:eastAsia="宋体" w:cs="Times New Roman"/>
                <w:b w:val="0"/>
                <w:bCs w:val="0"/>
                <w:sz w:val="18"/>
                <w:szCs w:val="18"/>
              </w:rPr>
              <w:t>纠正措施</w:t>
            </w:r>
            <w:r>
              <w:rPr>
                <w:rFonts w:hint="eastAsia" w:ascii="宋体" w:hAnsi="宋体" w:eastAsia="宋体" w:cs="Times New Roman"/>
                <w:b w:val="0"/>
                <w:bCs w:val="0"/>
                <w:sz w:val="18"/>
                <w:szCs w:val="18"/>
              </w:rPr>
              <w:t>；</w:t>
            </w:r>
            <w:r>
              <w:rPr>
                <w:rFonts w:ascii="宋体" w:hAnsi="宋体" w:eastAsia="宋体" w:cs="Times New Roman"/>
                <w:b w:val="0"/>
                <w:bCs w:val="0"/>
                <w:sz w:val="18"/>
                <w:szCs w:val="18"/>
              </w:rPr>
              <w:t>应急准备和响应</w:t>
            </w:r>
          </w:p>
          <w:p>
            <w:pPr>
              <w:spacing w:line="300" w:lineRule="exact"/>
              <w:rPr>
                <w:rFonts w:hint="eastAsia" w:ascii="宋体" w:hAnsi="宋体" w:eastAsia="宋体" w:cs="Times New Roman"/>
                <w:b w:val="0"/>
                <w:bCs w:val="0"/>
                <w:sz w:val="18"/>
                <w:szCs w:val="18"/>
              </w:rPr>
            </w:pPr>
            <w:r>
              <w:rPr>
                <w:rFonts w:hint="eastAsia" w:ascii="宋体" w:hAnsi="宋体" w:eastAsia="宋体" w:cs="Times New Roman"/>
                <w:b w:val="0"/>
                <w:bCs w:val="0"/>
                <w:sz w:val="18"/>
                <w:szCs w:val="18"/>
                <w:lang w:val="en-US" w:eastAsia="zh-CN"/>
              </w:rPr>
              <w:t>E</w:t>
            </w:r>
            <w:r>
              <w:rPr>
                <w:rFonts w:hint="eastAsia" w:ascii="宋体" w:hAnsi="宋体" w:eastAsia="宋体" w:cs="Times New Roman"/>
                <w:b w:val="0"/>
                <w:bCs w:val="0"/>
                <w:sz w:val="18"/>
                <w:szCs w:val="18"/>
              </w:rPr>
              <w:t>S:5.3/6.1.2/6.1.1/6.1.3/6.2/7.2/7.3/7.4/7.5/8.1/8.2/9.2/10.1/10.2/9.1.2</w:t>
            </w:r>
          </w:p>
          <w:p>
            <w:pPr>
              <w:jc w:val="left"/>
              <w:rPr>
                <w:rFonts w:ascii="宋体" w:hAnsi="宋体"/>
                <w:b w:val="0"/>
                <w:bCs w:val="0"/>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val="0"/>
                <w:bCs w:val="0"/>
                <w:color w:val="000000" w:themeColor="text1"/>
                <w:sz w:val="20"/>
                <w:szCs w:val="20"/>
              </w:rPr>
            </w:pPr>
            <w:r>
              <w:rPr>
                <w:rFonts w:hint="eastAsia" w:ascii="宋体" w:hAnsi="宋体"/>
                <w:b w:val="0"/>
                <w:bCs w:val="0"/>
                <w:color w:val="000000" w:themeColor="text1"/>
                <w:sz w:val="20"/>
                <w:szCs w:val="20"/>
              </w:rPr>
              <w:t>生产部</w:t>
            </w:r>
          </w:p>
        </w:tc>
        <w:tc>
          <w:tcPr>
            <w:tcW w:w="6804" w:type="dxa"/>
          </w:tcPr>
          <w:p>
            <w:pPr>
              <w:spacing w:line="300" w:lineRule="exact"/>
              <w:rPr>
                <w:rFonts w:ascii="宋体" w:hAnsi="宋体" w:eastAsia="宋体" w:cs="Times New Roman"/>
                <w:b w:val="0"/>
                <w:bCs w:val="0"/>
                <w:sz w:val="18"/>
                <w:szCs w:val="18"/>
              </w:rPr>
            </w:pPr>
            <w:r>
              <w:rPr>
                <w:rFonts w:ascii="宋体" w:hAnsi="宋体" w:eastAsia="宋体" w:cs="Times New Roman"/>
                <w:b w:val="0"/>
                <w:bCs w:val="0"/>
                <w:sz w:val="18"/>
                <w:szCs w:val="18"/>
              </w:rPr>
              <w:t>组织的岗位、职责权限；目标、方案；环境因素/危险源识别评价；运行控制；应急准备和响应</w:t>
            </w:r>
          </w:p>
          <w:p>
            <w:pPr>
              <w:jc w:val="left"/>
              <w:rPr>
                <w:rFonts w:ascii="宋体" w:hAnsi="宋体"/>
                <w:b w:val="0"/>
                <w:bCs w:val="0"/>
                <w:color w:val="000000" w:themeColor="text1"/>
                <w:spacing w:val="-20"/>
                <w:sz w:val="20"/>
                <w:szCs w:val="20"/>
              </w:rPr>
            </w:pPr>
            <w:r>
              <w:rPr>
                <w:rFonts w:ascii="宋体" w:hAnsi="宋体" w:eastAsia="宋体" w:cs="Times New Roman"/>
                <w:b w:val="0"/>
                <w:bCs w:val="0"/>
                <w:sz w:val="18"/>
                <w:szCs w:val="18"/>
              </w:rPr>
              <w:t>EO5.3/6.2/6.1.2/8.1/8.2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val="0"/>
                <w:bCs w:val="0"/>
                <w:color w:val="000000" w:themeColor="text1"/>
                <w:szCs w:val="21"/>
              </w:rPr>
            </w:pPr>
            <w:r>
              <w:rPr>
                <w:rFonts w:hint="eastAsia" w:ascii="宋体" w:hAnsi="宋体"/>
                <w:b w:val="0"/>
                <w:bCs w:val="0"/>
                <w:color w:val="000000" w:themeColor="text1"/>
                <w:sz w:val="20"/>
                <w:szCs w:val="20"/>
              </w:rPr>
              <w:t>技术部</w:t>
            </w:r>
            <w:bookmarkStart w:id="22" w:name="_GoBack"/>
            <w:bookmarkEnd w:id="22"/>
          </w:p>
        </w:tc>
        <w:tc>
          <w:tcPr>
            <w:tcW w:w="6804" w:type="dxa"/>
          </w:tcPr>
          <w:p>
            <w:pPr>
              <w:spacing w:line="300" w:lineRule="exact"/>
              <w:rPr>
                <w:rFonts w:ascii="宋体" w:hAnsi="宋体" w:eastAsia="宋体" w:cs="Times New Roman"/>
                <w:b w:val="0"/>
                <w:bCs w:val="0"/>
                <w:sz w:val="18"/>
                <w:szCs w:val="18"/>
              </w:rPr>
            </w:pPr>
            <w:r>
              <w:rPr>
                <w:rFonts w:ascii="宋体" w:hAnsi="宋体" w:eastAsia="宋体" w:cs="Times New Roman"/>
                <w:b w:val="0"/>
                <w:bCs w:val="0"/>
                <w:sz w:val="18"/>
                <w:szCs w:val="18"/>
              </w:rPr>
              <w:t>组织的岗位、职责权限；目标、方案；环境因素/危险源识别评价；运行控制；应急准备和响应</w:t>
            </w:r>
          </w:p>
          <w:p>
            <w:pPr>
              <w:jc w:val="left"/>
              <w:rPr>
                <w:rFonts w:ascii="宋体" w:hAnsi="宋体"/>
                <w:b w:val="0"/>
                <w:bCs w:val="0"/>
                <w:color w:val="000000" w:themeColor="text1"/>
                <w:spacing w:val="-20"/>
                <w:sz w:val="20"/>
                <w:szCs w:val="20"/>
              </w:rPr>
            </w:pPr>
            <w:r>
              <w:rPr>
                <w:rFonts w:hint="eastAsia" w:ascii="宋体" w:hAnsi="宋体" w:eastAsia="宋体" w:cs="Times New Roman"/>
                <w:b w:val="0"/>
                <w:bCs w:val="0"/>
                <w:sz w:val="18"/>
                <w:szCs w:val="18"/>
                <w:lang w:val="en-US" w:eastAsia="zh-CN"/>
              </w:rPr>
              <w:t>E</w:t>
            </w:r>
            <w:r>
              <w:rPr>
                <w:rFonts w:hint="eastAsia" w:ascii="宋体" w:hAnsi="宋体" w:eastAsia="宋体" w:cs="Times New Roman"/>
                <w:b w:val="0"/>
                <w:bCs w:val="0"/>
                <w:sz w:val="18"/>
                <w:szCs w:val="18"/>
              </w:rPr>
              <w:t>S</w:t>
            </w:r>
            <w:r>
              <w:rPr>
                <w:rFonts w:ascii="宋体" w:hAnsi="宋体" w:eastAsia="宋体" w:cs="Times New Roman"/>
                <w:b w:val="0"/>
                <w:bCs w:val="0"/>
                <w:sz w:val="18"/>
                <w:szCs w:val="18"/>
              </w:rPr>
              <w:t>:5.3</w:t>
            </w:r>
            <w:r>
              <w:rPr>
                <w:rFonts w:hint="eastAsia" w:ascii="宋体" w:hAnsi="宋体" w:eastAsia="宋体" w:cs="Times New Roman"/>
                <w:b w:val="0"/>
                <w:bCs w:val="0"/>
                <w:sz w:val="18"/>
                <w:szCs w:val="18"/>
              </w:rPr>
              <w:t>/</w:t>
            </w:r>
            <w:r>
              <w:rPr>
                <w:rFonts w:hint="eastAsia" w:ascii="宋体" w:hAnsi="宋体" w:eastAsia="宋体" w:cs="Times New Roman"/>
                <w:b w:val="0"/>
                <w:bCs w:val="0"/>
                <w:sz w:val="18"/>
                <w:szCs w:val="18"/>
                <w:lang w:val="en-US" w:eastAsia="zh-CN"/>
              </w:rPr>
              <w:t>6.1/</w:t>
            </w:r>
            <w:r>
              <w:rPr>
                <w:rFonts w:hint="eastAsia" w:ascii="宋体" w:hAnsi="宋体" w:eastAsia="宋体" w:cs="Times New Roman"/>
                <w:b w:val="0"/>
                <w:bCs w:val="0"/>
                <w:sz w:val="18"/>
                <w:szCs w:val="18"/>
              </w:rPr>
              <w:t>6.2/</w:t>
            </w:r>
            <w:r>
              <w:rPr>
                <w:rFonts w:hint="eastAsia" w:ascii="宋体" w:hAnsi="宋体" w:eastAsia="宋体" w:cs="Times New Roman"/>
                <w:b w:val="0"/>
                <w:bCs w:val="0"/>
                <w:sz w:val="18"/>
                <w:szCs w:val="18"/>
                <w:lang w:val="en-US" w:eastAsia="zh-CN"/>
              </w:rPr>
              <w:t>7.1/</w:t>
            </w:r>
            <w:r>
              <w:rPr>
                <w:rFonts w:ascii="宋体" w:hAnsi="宋体" w:eastAsia="宋体" w:cs="Times New Roman"/>
                <w:b w:val="0"/>
                <w:bCs w:val="0"/>
                <w:sz w:val="18"/>
                <w:szCs w:val="18"/>
              </w:rPr>
              <w:t>8.1/8.</w:t>
            </w:r>
            <w:r>
              <w:rPr>
                <w:rFonts w:hint="eastAsia" w:ascii="宋体" w:hAnsi="宋体" w:eastAsia="宋体" w:cs="Times New Roman"/>
                <w:b w:val="0"/>
                <w:bCs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采购仓储部</w:t>
            </w:r>
          </w:p>
        </w:tc>
        <w:tc>
          <w:tcPr>
            <w:tcW w:w="6804" w:type="dxa"/>
          </w:tcPr>
          <w:p>
            <w:pPr>
              <w:spacing w:line="300" w:lineRule="exact"/>
              <w:rPr>
                <w:rFonts w:ascii="宋体" w:hAnsi="宋体" w:eastAsia="宋体" w:cs="Times New Roman"/>
                <w:b w:val="0"/>
                <w:bCs w:val="0"/>
                <w:sz w:val="18"/>
                <w:szCs w:val="18"/>
              </w:rPr>
            </w:pPr>
            <w:r>
              <w:rPr>
                <w:rFonts w:ascii="宋体" w:hAnsi="宋体" w:eastAsia="宋体" w:cs="Times New Roman"/>
                <w:b w:val="0"/>
                <w:bCs w:val="0"/>
                <w:sz w:val="18"/>
                <w:szCs w:val="18"/>
              </w:rPr>
              <w:t>组织的岗位、职责权限；目标、方案；环境因素/危险源识别评价；运行控制；应急准备和响应</w:t>
            </w:r>
          </w:p>
          <w:p>
            <w:pPr>
              <w:rPr>
                <w:rFonts w:ascii="宋体" w:hAnsi="宋体"/>
                <w:b/>
                <w:bCs/>
                <w:color w:val="000000" w:themeColor="text1"/>
                <w:spacing w:val="-20"/>
                <w:sz w:val="20"/>
                <w:szCs w:val="20"/>
              </w:rPr>
            </w:pPr>
            <w:r>
              <w:rPr>
                <w:rFonts w:hint="eastAsia" w:ascii="宋体" w:hAnsi="宋体" w:eastAsia="宋体" w:cs="Times New Roman"/>
                <w:b w:val="0"/>
                <w:bCs w:val="0"/>
                <w:sz w:val="18"/>
                <w:szCs w:val="18"/>
                <w:lang w:val="en-US" w:eastAsia="zh-CN"/>
              </w:rPr>
              <w:t>E</w:t>
            </w:r>
            <w:r>
              <w:rPr>
                <w:rFonts w:hint="eastAsia" w:ascii="宋体" w:hAnsi="宋体" w:eastAsia="宋体" w:cs="Times New Roman"/>
                <w:b w:val="0"/>
                <w:bCs w:val="0"/>
                <w:sz w:val="18"/>
                <w:szCs w:val="18"/>
              </w:rPr>
              <w:t>S</w:t>
            </w:r>
            <w:r>
              <w:rPr>
                <w:rFonts w:ascii="宋体" w:hAnsi="宋体" w:eastAsia="宋体" w:cs="Times New Roman"/>
                <w:b w:val="0"/>
                <w:bCs w:val="0"/>
                <w:sz w:val="18"/>
                <w:szCs w:val="18"/>
              </w:rPr>
              <w:t>:5.3</w:t>
            </w:r>
            <w:r>
              <w:rPr>
                <w:rFonts w:hint="eastAsia" w:ascii="宋体" w:hAnsi="宋体" w:eastAsia="宋体" w:cs="Times New Roman"/>
                <w:b w:val="0"/>
                <w:bCs w:val="0"/>
                <w:sz w:val="18"/>
                <w:szCs w:val="18"/>
              </w:rPr>
              <w:t>/</w:t>
            </w:r>
            <w:r>
              <w:rPr>
                <w:rFonts w:hint="eastAsia" w:ascii="宋体" w:hAnsi="宋体" w:eastAsia="宋体" w:cs="Times New Roman"/>
                <w:b w:val="0"/>
                <w:bCs w:val="0"/>
                <w:sz w:val="18"/>
                <w:szCs w:val="18"/>
                <w:lang w:val="en-US" w:eastAsia="zh-CN"/>
              </w:rPr>
              <w:t>6.1/</w:t>
            </w:r>
            <w:r>
              <w:rPr>
                <w:rFonts w:hint="eastAsia" w:ascii="宋体" w:hAnsi="宋体" w:eastAsia="宋体" w:cs="Times New Roman"/>
                <w:b w:val="0"/>
                <w:bCs w:val="0"/>
                <w:sz w:val="18"/>
                <w:szCs w:val="18"/>
              </w:rPr>
              <w:t>6.2/</w:t>
            </w:r>
            <w:r>
              <w:rPr>
                <w:rFonts w:hint="eastAsia" w:ascii="宋体" w:hAnsi="宋体" w:eastAsia="宋体" w:cs="Times New Roman"/>
                <w:b w:val="0"/>
                <w:bCs w:val="0"/>
                <w:sz w:val="18"/>
                <w:szCs w:val="18"/>
                <w:lang w:val="en-US" w:eastAsia="zh-CN"/>
              </w:rPr>
              <w:t>7.1/</w:t>
            </w:r>
            <w:r>
              <w:rPr>
                <w:rFonts w:ascii="宋体" w:hAnsi="宋体" w:eastAsia="宋体" w:cs="Times New Roman"/>
                <w:b w:val="0"/>
                <w:bCs w:val="0"/>
                <w:sz w:val="18"/>
                <w:szCs w:val="18"/>
              </w:rPr>
              <w:t>8.1/8.</w:t>
            </w:r>
            <w:r>
              <w:rPr>
                <w:rFonts w:hint="eastAsia" w:ascii="宋体" w:hAnsi="宋体" w:eastAsia="宋体" w:cs="Times New Roman"/>
                <w:b w:val="0"/>
                <w:bCs w:val="0"/>
                <w:sz w:val="18"/>
                <w:szCs w:val="18"/>
                <w:lang w:val="en-US" w:eastAsia="zh-CN"/>
              </w:rPr>
              <w:t>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b/>
                <w:color w:val="000000" w:themeColor="text1"/>
                <w:sz w:val="20"/>
                <w:szCs w:val="20"/>
              </w:rPr>
              <w:t>汽车用油量传感器、中控锁、翘班开关</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QC</w:t>
            </w:r>
            <w:r>
              <w:rPr>
                <w:b/>
                <w:color w:val="000000" w:themeColor="text1"/>
                <w:sz w:val="20"/>
                <w:szCs w:val="20"/>
              </w:rPr>
              <w:t>/</w:t>
            </w:r>
            <w:r>
              <w:rPr>
                <w:rFonts w:hint="eastAsia"/>
                <w:b/>
                <w:color w:val="000000" w:themeColor="text1"/>
                <w:sz w:val="20"/>
                <w:szCs w:val="20"/>
              </w:rPr>
              <w:t>T</w:t>
            </w:r>
            <w:r>
              <w:rPr>
                <w:b/>
                <w:color w:val="000000" w:themeColor="text1"/>
                <w:sz w:val="20"/>
                <w:szCs w:val="20"/>
              </w:rPr>
              <w:t>823</w:t>
            </w:r>
            <w:r>
              <w:rPr>
                <w:rFonts w:hint="eastAsia"/>
                <w:b/>
                <w:color w:val="000000" w:themeColor="text1"/>
                <w:sz w:val="20"/>
                <w:szCs w:val="20"/>
              </w:rPr>
              <w:t>、QC</w:t>
            </w:r>
            <w:r>
              <w:rPr>
                <w:b/>
                <w:color w:val="000000" w:themeColor="text1"/>
                <w:sz w:val="20"/>
                <w:szCs w:val="20"/>
              </w:rPr>
              <w:t>/</w:t>
            </w:r>
            <w:r>
              <w:rPr>
                <w:rFonts w:hint="eastAsia"/>
                <w:b/>
                <w:color w:val="000000" w:themeColor="text1"/>
                <w:sz w:val="20"/>
                <w:szCs w:val="20"/>
              </w:rPr>
              <w:t>T</w:t>
            </w:r>
            <w:r>
              <w:rPr>
                <w:b/>
                <w:color w:val="000000" w:themeColor="text1"/>
                <w:sz w:val="20"/>
                <w:szCs w:val="20"/>
              </w:rPr>
              <w:t>198-2014</w:t>
            </w:r>
            <w:r>
              <w:rPr>
                <w:rFonts w:hint="eastAsia"/>
                <w:b/>
                <w:color w:val="000000" w:themeColor="text1"/>
                <w:sz w:val="20"/>
                <w:szCs w:val="20"/>
              </w:rPr>
              <w:t>、GB</w:t>
            </w:r>
            <w:r>
              <w:rPr>
                <w:b/>
                <w:color w:val="000000" w:themeColor="text1"/>
                <w:sz w:val="20"/>
                <w:szCs w:val="20"/>
              </w:rPr>
              <w:t>15086-2006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年7月</w:t>
      </w:r>
      <w:bookmarkStart w:id="20" w:name="OLE_LINK1"/>
      <w:r>
        <w:rPr>
          <w:rFonts w:hint="eastAsia"/>
          <w:b/>
          <w:color w:val="000000" w:themeColor="text1"/>
          <w:spacing w:val="-10"/>
          <w:szCs w:val="21"/>
        </w:rPr>
        <w:t>3</w:t>
      </w:r>
      <w:r>
        <w:rPr>
          <w:b/>
          <w:color w:val="000000" w:themeColor="text1"/>
          <w:spacing w:val="-10"/>
          <w:szCs w:val="21"/>
        </w:rPr>
        <w:t>0</w:t>
      </w:r>
      <w:r>
        <w:rPr>
          <w:rFonts w:hint="eastAsia"/>
          <w:b/>
          <w:color w:val="000000" w:themeColor="text1"/>
          <w:spacing w:val="-10"/>
          <w:szCs w:val="21"/>
        </w:rPr>
        <w:t>日</w:t>
      </w:r>
      <w:bookmarkEnd w:id="20"/>
      <w:r>
        <w:rPr>
          <w:rFonts w:hint="eastAsia"/>
          <w:b/>
          <w:color w:val="000000" w:themeColor="text1"/>
          <w:spacing w:val="-10"/>
          <w:szCs w:val="21"/>
        </w:rPr>
        <w:t>至2</w:t>
      </w:r>
      <w:r>
        <w:rPr>
          <w:b/>
          <w:color w:val="000000" w:themeColor="text1"/>
          <w:spacing w:val="-10"/>
          <w:szCs w:val="21"/>
        </w:rPr>
        <w:t>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b/>
                <w:color w:val="000000" w:themeColor="text1"/>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40" w:lineRule="exact"/>
              <w:rPr>
                <w:b/>
                <w:color w:val="000000" w:themeColor="text1"/>
                <w:sz w:val="20"/>
                <w:szCs w:val="20"/>
              </w:rPr>
            </w:pPr>
            <w:r>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40" w:lineRule="exact"/>
              <w:rPr>
                <w:b/>
                <w:color w:val="000000" w:themeColor="text1"/>
                <w:sz w:val="20"/>
                <w:szCs w:val="20"/>
              </w:rPr>
            </w:pPr>
            <w:r>
              <w:rPr>
                <w:rFonts w:hint="eastAsia"/>
                <w:b/>
                <w:color w:val="000000" w:themeColor="text1"/>
                <w:sz w:val="20"/>
                <w:szCs w:val="20"/>
              </w:rPr>
              <w:t>与质量/环境/职业健康安全管理体系有关的相关方；</w:t>
            </w:r>
          </w:p>
          <w:p>
            <w:pPr>
              <w:spacing w:line="240" w:lineRule="exact"/>
              <w:rPr>
                <w:b/>
                <w:color w:val="000000" w:themeColor="text1"/>
                <w:sz w:val="20"/>
                <w:szCs w:val="20"/>
              </w:rPr>
            </w:pPr>
            <w:r>
              <w:rPr>
                <w:rFonts w:hint="eastAsia"/>
                <w:b/>
                <w:color w:val="000000" w:themeColor="text1"/>
                <w:sz w:val="20"/>
                <w:szCs w:val="20"/>
              </w:rPr>
              <w:t>公司的相关方包括：顾客、员工、银行、外部供应商、雇员及其他为组织工作者、法律法规及监管机关、非政府组织等。</w:t>
            </w:r>
          </w:p>
          <w:p>
            <w:pPr>
              <w:spacing w:line="240" w:lineRule="exact"/>
              <w:rPr>
                <w:b/>
                <w:color w:val="000000" w:themeColor="text1"/>
                <w:sz w:val="20"/>
                <w:szCs w:val="20"/>
              </w:rPr>
            </w:pPr>
            <w:r>
              <w:rPr>
                <w:rFonts w:hint="eastAsia"/>
                <w:b/>
                <w:color w:val="000000" w:themeColor="text1"/>
                <w:sz w:val="20"/>
                <w:szCs w:val="20"/>
              </w:rPr>
              <w:t>公司对这些相关方及其要求的相关信息进行监视和评审，理解和持续满足相关方的需求和期望。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ascii="MS Mincho" w:hAnsi="MS Mincho" w:eastAsia="MS Mincho" w:cs="MS Mincho"/>
                <w:szCs w:val="21"/>
              </w:rPr>
              <w:t>☑</w:t>
            </w:r>
            <w:r>
              <w:rPr>
                <w:rFonts w:hint="eastAsia" w:ascii="宋体" w:hAnsi="宋体"/>
                <w:b/>
                <w:color w:val="000000" w:themeColor="text1"/>
                <w:sz w:val="20"/>
                <w:szCs w:val="20"/>
              </w:rPr>
              <w:t>环境/</w:t>
            </w:r>
            <w:r>
              <w:rPr>
                <w:rFonts w:hint="eastAsia" w:ascii="MS Mincho" w:hAnsi="MS Mincho" w:eastAsia="MS Mincho" w:cs="MS Mincho"/>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rPr>
                <w:rFonts w:ascii="宋体" w:hAnsi="宋体"/>
                <w:b/>
                <w:color w:val="000000" w:themeColor="text1"/>
                <w:sz w:val="20"/>
                <w:szCs w:val="20"/>
              </w:rPr>
            </w:pPr>
          </w:p>
          <w:p>
            <w:pPr>
              <w:spacing w:line="240" w:lineRule="exact"/>
              <w:ind w:left="199" w:leftChars="95"/>
              <w:rPr>
                <w:b/>
                <w:color w:val="000000" w:themeColor="text1"/>
              </w:rPr>
            </w:pPr>
            <w:r>
              <w:rPr>
                <w:rFonts w:hint="eastAsia"/>
                <w:b/>
                <w:color w:val="000000" w:themeColor="text1"/>
              </w:rPr>
              <w:t>公司的环境/职业健康安全方针是：</w:t>
            </w:r>
          </w:p>
          <w:p>
            <w:pPr>
              <w:spacing w:line="240" w:lineRule="exact"/>
              <w:ind w:left="199" w:leftChars="95"/>
              <w:rPr>
                <w:b/>
                <w:bCs/>
                <w:color w:val="000000" w:themeColor="text1"/>
              </w:rPr>
            </w:pPr>
            <w:r>
              <w:rPr>
                <w:rFonts w:hint="eastAsia"/>
                <w:b/>
                <w:bCs/>
                <w:color w:val="000000" w:themeColor="text1"/>
              </w:rPr>
              <w:t>节能降耗，防治污染，保护环境；</w:t>
            </w:r>
          </w:p>
          <w:p>
            <w:pPr>
              <w:spacing w:line="240" w:lineRule="exact"/>
              <w:ind w:left="199" w:leftChars="95"/>
              <w:rPr>
                <w:b/>
                <w:bCs/>
                <w:color w:val="000000" w:themeColor="text1"/>
              </w:rPr>
            </w:pPr>
            <w:r>
              <w:rPr>
                <w:rFonts w:hint="eastAsia"/>
                <w:b/>
                <w:bCs/>
                <w:color w:val="000000" w:themeColor="text1"/>
              </w:rPr>
              <w:t>安全第一，保障健康，减少风险；</w:t>
            </w:r>
          </w:p>
          <w:p>
            <w:pPr>
              <w:spacing w:line="240" w:lineRule="exact"/>
              <w:ind w:left="199" w:leftChars="95"/>
              <w:rPr>
                <w:rFonts w:hint="eastAsia"/>
                <w:b/>
                <w:bCs/>
                <w:color w:val="000000" w:themeColor="text1"/>
              </w:rPr>
            </w:pPr>
            <w:r>
              <w:rPr>
                <w:rFonts w:hint="eastAsia"/>
                <w:b/>
                <w:bCs/>
                <w:color w:val="000000" w:themeColor="text1"/>
              </w:rPr>
              <w:t>全员参与，遵守法规，持续改进。</w:t>
            </w:r>
          </w:p>
          <w:p>
            <w:pPr>
              <w:spacing w:line="240" w:lineRule="exact"/>
              <w:ind w:left="199" w:leftChars="95"/>
              <w:rPr>
                <w:b/>
                <w:color w:val="000000" w:themeColor="text1"/>
              </w:rPr>
            </w:pPr>
            <w:r>
              <w:rPr>
                <w:rFonts w:hint="eastAsia"/>
                <w:b/>
                <w:color w:val="000000" w:themeColor="text1"/>
              </w:rPr>
              <w:t>公司的质量/环境/职业健康安全方针已经形成文件并获得保持。总经理作为公司的最高管理者进行制定和批准，通过培训、教育或会议等方式在公司内部沟通、推广环境/职业健康安全方针，使公司各级人员理解质量/环境/职业健康安全方针并应用。适宜时，可作为宣传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30" o:spid="_x0000_s103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9" o:spid="_x0000_s1029"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val="0"/>
                <w:bCs/>
                <w:color w:val="000000" w:themeColor="text1"/>
                <w:sz w:val="20"/>
                <w:szCs w:val="20"/>
              </w:rPr>
            </w:pPr>
            <w:r>
              <w:rPr>
                <w:rFonts w:hint="eastAsia"/>
                <w:b w:val="0"/>
                <w:bCs/>
                <w:color w:val="000000" w:themeColor="text1"/>
                <w:sz w:val="20"/>
                <w:szCs w:val="20"/>
              </w:rPr>
              <w:t>提供《环境因素评价表》，涉及办公区、车间等，包括固废废弃、意外火灾的发生、电能的消耗、原材料损耗、包装箱的废弃、汽车尾气的排放、装卸时噪声排放等。</w:t>
            </w:r>
          </w:p>
          <w:p>
            <w:pPr>
              <w:spacing w:line="300" w:lineRule="exact"/>
              <w:rPr>
                <w:b/>
                <w:color w:val="000000" w:themeColor="text1"/>
                <w:sz w:val="20"/>
                <w:szCs w:val="20"/>
              </w:rPr>
            </w:pPr>
            <w:r>
              <w:rPr>
                <w:rFonts w:hint="eastAsia"/>
                <w:b w:val="0"/>
                <w:bCs/>
                <w:color w:val="000000" w:themeColor="text1"/>
                <w:sz w:val="20"/>
                <w:szCs w:val="20"/>
              </w:rPr>
              <w:t>可以提供《重大环境因素清单》，其中重要环境因素：用完或用剩余的粘胶瓶。评价不准确。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val="0"/>
                <w:bCs/>
                <w:color w:val="000000" w:themeColor="text1"/>
                <w:sz w:val="20"/>
                <w:szCs w:val="20"/>
              </w:rPr>
            </w:pPr>
            <w:r>
              <w:rPr>
                <w:rFonts w:hint="eastAsia"/>
                <w:b w:val="0"/>
                <w:bCs/>
                <w:color w:val="000000" w:themeColor="text1"/>
                <w:sz w:val="20"/>
                <w:szCs w:val="20"/>
              </w:rPr>
              <w:t>供《危险源识别清单》，按照活动、区域进行了识别，其中涉及综合部、生产、库房包括：电脑、打印机、复印机产生的辐射；电源电器老化损坏、违章用电、地面油污水滑跌倒、障碍物挡路、物资装卸、搬运、货物倾倒、吸烟引起的火灾、灭火器失效、废气伤害、操作不当机械伤害等，评价基本全面</w:t>
            </w:r>
          </w:p>
          <w:p>
            <w:pPr>
              <w:spacing w:line="300" w:lineRule="exact"/>
              <w:rPr>
                <w:b/>
                <w:color w:val="000000" w:themeColor="text1"/>
                <w:sz w:val="20"/>
                <w:szCs w:val="20"/>
              </w:rPr>
            </w:pPr>
            <w:r>
              <w:rPr>
                <w:rFonts w:hint="eastAsia"/>
                <w:b w:val="0"/>
                <w:bCs/>
                <w:color w:val="000000" w:themeColor="text1"/>
                <w:sz w:val="20"/>
                <w:szCs w:val="20"/>
              </w:rPr>
              <w:t>提供《不可接受风险清单》，评价触电、火灾事故发生为不可接受风险，评价准确。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100</w:t>
            </w:r>
            <w:r>
              <w:rPr>
                <w:rFonts w:hint="eastAsia" w:ascii="宋体" w:hAnsi="宋体"/>
                <w:b/>
                <w:color w:val="000000" w:themeColor="text1"/>
                <w:szCs w:val="21"/>
              </w:rPr>
              <w:t>项，</w:t>
            </w:r>
            <w:r>
              <w:rPr>
                <w:rFonts w:hint="eastAsia" w:ascii="MS Mincho" w:hAnsi="MS Mincho" w:eastAsia="MS Mincho" w:cs="MS Mincho"/>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MS Mincho" w:hAnsi="MS Mincho" w:eastAsia="MS Mincho" w:cs="MS Mincho"/>
                <w:szCs w:val="21"/>
              </w:rPr>
              <w:t>☑</w:t>
            </w:r>
            <w:r>
              <w:rPr>
                <w:rFonts w:hint="eastAsia" w:ascii="宋体" w:hAnsi="宋体"/>
                <w:b/>
                <w:color w:val="000000" w:themeColor="text1"/>
                <w:szCs w:val="21"/>
              </w:rPr>
              <w:t>环境因</w:t>
            </w:r>
            <w:r>
              <w:rPr>
                <w:rFonts w:hint="eastAsia" w:ascii="MS Mincho" w:hAnsi="MS Mincho" w:eastAsia="MS Mincho" w:cs="MS Mincho"/>
                <w:szCs w:val="21"/>
              </w:rPr>
              <w:t>☑</w:t>
            </w:r>
            <w:r>
              <w:rPr>
                <w:rFonts w:hint="eastAsia" w:ascii="宋体" w:hAnsi="宋体"/>
                <w:b/>
                <w:color w:val="000000" w:themeColor="text1"/>
                <w:szCs w:val="21"/>
              </w:rPr>
              <w:t>危险源，</w:t>
            </w:r>
            <w:r>
              <w:rPr>
                <w:rFonts w:hint="eastAsia" w:ascii="MS Mincho" w:hAnsi="MS Mincho" w:eastAsia="MS Mincho" w:cs="MS Mincho"/>
                <w:szCs w:val="21"/>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bCs/>
                <w:color w:val="000000" w:themeColor="text1"/>
              </w:rPr>
            </w:pPr>
            <w:r>
              <w:rPr>
                <w:rFonts w:hint="eastAsia" w:ascii="宋体" w:hAnsi="宋体"/>
                <w:b/>
                <w:bCs/>
                <w:color w:val="000000" w:themeColor="text1"/>
              </w:rPr>
              <w:t xml:space="preserve">1）环境目标：  </w:t>
            </w:r>
          </w:p>
          <w:p>
            <w:pPr>
              <w:spacing w:line="240" w:lineRule="exact"/>
              <w:rPr>
                <w:rFonts w:hint="eastAsia" w:ascii="宋体" w:hAnsi="宋体"/>
                <w:b/>
                <w:bCs/>
                <w:color w:val="000000" w:themeColor="text1"/>
              </w:rPr>
            </w:pPr>
            <w:r>
              <w:rPr>
                <w:rFonts w:hint="eastAsia" w:ascii="宋体" w:hAnsi="宋体"/>
                <w:b/>
                <w:bCs/>
                <w:color w:val="000000" w:themeColor="text1"/>
              </w:rPr>
              <w:t>杜绝环境污染事故</w:t>
            </w:r>
          </w:p>
          <w:p>
            <w:pPr>
              <w:spacing w:line="240" w:lineRule="exact"/>
              <w:rPr>
                <w:rFonts w:ascii="宋体" w:hAnsi="宋体"/>
                <w:b/>
                <w:bCs/>
                <w:color w:val="000000" w:themeColor="text1"/>
              </w:rPr>
            </w:pPr>
            <w:r>
              <w:rPr>
                <w:rFonts w:hint="eastAsia" w:ascii="宋体" w:hAnsi="宋体"/>
                <w:b/>
                <w:bCs/>
                <w:color w:val="000000" w:themeColor="text1"/>
              </w:rPr>
              <w:t>办公固废收集率100%</w:t>
            </w:r>
          </w:p>
          <w:p>
            <w:pPr>
              <w:spacing w:line="240" w:lineRule="exact"/>
              <w:rPr>
                <w:rFonts w:ascii="宋体" w:hAnsi="宋体"/>
                <w:b/>
                <w:bCs/>
                <w:color w:val="000000" w:themeColor="text1"/>
              </w:rPr>
            </w:pPr>
            <w:r>
              <w:rPr>
                <w:rFonts w:hint="eastAsia" w:ascii="宋体" w:hAnsi="宋体"/>
                <w:b/>
                <w:bCs/>
                <w:color w:val="000000" w:themeColor="text1"/>
              </w:rPr>
              <w:t>2）安全目标</w:t>
            </w:r>
          </w:p>
          <w:p>
            <w:pPr>
              <w:spacing w:line="240" w:lineRule="exact"/>
              <w:rPr>
                <w:rFonts w:hint="eastAsia" w:ascii="宋体" w:hAnsi="宋体"/>
                <w:b/>
                <w:bCs/>
                <w:color w:val="000000" w:themeColor="text1"/>
              </w:rPr>
            </w:pPr>
            <w:r>
              <w:rPr>
                <w:rFonts w:hint="eastAsia" w:ascii="宋体" w:hAnsi="宋体"/>
                <w:b/>
                <w:bCs/>
                <w:color w:val="000000" w:themeColor="text1"/>
              </w:rPr>
              <w:t>火灾事故为0</w:t>
            </w:r>
          </w:p>
          <w:p>
            <w:pPr>
              <w:spacing w:line="240" w:lineRule="exact"/>
              <w:rPr>
                <w:rFonts w:ascii="宋体" w:hAnsi="宋体"/>
                <w:b/>
                <w:bCs/>
                <w:color w:val="000000" w:themeColor="text1"/>
              </w:rPr>
            </w:pPr>
            <w:r>
              <w:rPr>
                <w:rFonts w:hint="eastAsia" w:ascii="宋体" w:hAnsi="宋体"/>
                <w:b/>
                <w:bCs/>
                <w:color w:val="000000" w:themeColor="text1"/>
              </w:rPr>
              <w:t>意外伤害救治率1</w:t>
            </w:r>
            <w:r>
              <w:rPr>
                <w:rFonts w:ascii="宋体" w:hAnsi="宋体"/>
                <w:b/>
                <w:bCs/>
                <w:color w:val="000000" w:themeColor="text1"/>
              </w:rPr>
              <w:t>00</w:t>
            </w:r>
            <w:r>
              <w:rPr>
                <w:rFonts w:hint="eastAsia" w:ascii="宋体" w:hAnsi="宋体"/>
                <w:b/>
                <w:bCs/>
                <w:color w:val="000000" w:themeColor="text1"/>
              </w:rPr>
              <w:t>%</w:t>
            </w:r>
          </w:p>
          <w:p>
            <w:pPr>
              <w:spacing w:line="240" w:lineRule="exact"/>
              <w:rPr>
                <w:rFonts w:ascii="宋体" w:hAnsi="宋体"/>
                <w:b/>
                <w:color w:val="000000" w:themeColor="text1"/>
              </w:rPr>
            </w:pPr>
            <w:r>
              <w:rPr>
                <w:rFonts w:hint="eastAsia" w:ascii="宋体" w:hAnsi="宋体"/>
                <w:b/>
                <w:bCs/>
                <w:color w:val="000000" w:themeColor="text1"/>
              </w:rPr>
              <w:t>目</w:t>
            </w:r>
            <w:r>
              <w:rPr>
                <w:rFonts w:hint="eastAsia" w:ascii="宋体" w:hAnsi="宋体"/>
                <w:b/>
                <w:color w:val="000000" w:themeColor="text1"/>
              </w:rPr>
              <w:t>标可测量，与公司管理方针一致。</w:t>
            </w:r>
          </w:p>
          <w:p>
            <w:pPr>
              <w:spacing w:line="240" w:lineRule="exact"/>
              <w:rPr>
                <w:rFonts w:ascii="宋体" w:hAnsi="宋体"/>
                <w:b/>
                <w:color w:val="000000" w:themeColor="text1"/>
              </w:rPr>
            </w:pPr>
            <w:r>
              <w:rPr>
                <w:rFonts w:hint="eastAsia" w:ascii="宋体" w:hAnsi="宋体"/>
                <w:b/>
                <w:color w:val="000000" w:themeColor="text1"/>
              </w:rPr>
              <w:t>每年由综合部按公司管理目标考核要求统计考核公司管理目标完成情况，提交管理评审会议。查到2</w:t>
            </w:r>
            <w:r>
              <w:rPr>
                <w:rFonts w:ascii="宋体" w:hAnsi="宋体"/>
                <w:b/>
                <w:color w:val="000000" w:themeColor="text1"/>
              </w:rPr>
              <w:t>020</w:t>
            </w:r>
            <w:r>
              <w:rPr>
                <w:rFonts w:hint="eastAsia" w:ascii="宋体" w:hAnsi="宋体"/>
                <w:b/>
                <w:color w:val="000000" w:themeColor="text1"/>
              </w:rPr>
              <w:t>年</w:t>
            </w:r>
            <w:r>
              <w:rPr>
                <w:rFonts w:ascii="宋体" w:hAnsi="宋体"/>
                <w:b/>
                <w:color w:val="000000" w:themeColor="text1"/>
              </w:rPr>
              <w:t>7</w:t>
            </w:r>
            <w:r>
              <w:rPr>
                <w:rFonts w:hint="eastAsia" w:ascii="宋体" w:hAnsi="宋体"/>
                <w:b/>
                <w:color w:val="000000" w:themeColor="text1"/>
              </w:rPr>
              <w:t>月-</w:t>
            </w:r>
            <w:r>
              <w:rPr>
                <w:rFonts w:ascii="宋体" w:hAnsi="宋体"/>
                <w:b/>
                <w:color w:val="000000" w:themeColor="text1"/>
              </w:rPr>
              <w:t>202</w:t>
            </w:r>
            <w:r>
              <w:rPr>
                <w:rFonts w:hint="eastAsia" w:ascii="宋体" w:hAnsi="宋体"/>
                <w:b/>
                <w:color w:val="000000" w:themeColor="text1"/>
                <w:lang w:val="en-US" w:eastAsia="zh-CN"/>
              </w:rPr>
              <w:t>1</w:t>
            </w:r>
            <w:r>
              <w:rPr>
                <w:rFonts w:hint="eastAsia" w:ascii="宋体" w:hAnsi="宋体"/>
                <w:b/>
                <w:color w:val="000000" w:themeColor="text1"/>
              </w:rPr>
              <w:t>年</w:t>
            </w:r>
            <w:r>
              <w:rPr>
                <w:rFonts w:hint="eastAsia" w:ascii="宋体" w:hAnsi="宋体"/>
                <w:b/>
                <w:color w:val="000000" w:themeColor="text1"/>
                <w:lang w:val="en-US" w:eastAsia="zh-CN"/>
              </w:rPr>
              <w:t>2</w:t>
            </w:r>
            <w:r>
              <w:rPr>
                <w:rFonts w:hint="eastAsia" w:ascii="宋体" w:hAnsi="宋体"/>
                <w:b/>
                <w:color w:val="000000" w:themeColor="text1"/>
              </w:rPr>
              <w:t>月，公司管理目标完成情况，各项目标均已完成，考核部门综合部。</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管理体系文件由综合部组织编写，总经理批准发布实施，综合部打印传阅，公司文件柜存放，电子版本在电脑桌面上，每个人均可查阅。外来文件电子版本在电脑桌面上，每个人均可查阅。记录管理：综合部根据管理体系要求设计了空白表格，按照需求发放，由使用人员填写记录并保存，综合部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企业职工</w:t>
            </w:r>
            <w:r>
              <w:rPr>
                <w:rFonts w:ascii="宋体" w:hAnsi="宋体"/>
                <w:b/>
                <w:color w:val="000000" w:themeColor="text1"/>
                <w:sz w:val="20"/>
                <w:szCs w:val="20"/>
              </w:rPr>
              <w:t>15</w:t>
            </w:r>
            <w:r>
              <w:rPr>
                <w:rFonts w:hint="eastAsia" w:ascii="宋体" w:hAnsi="宋体"/>
                <w:b/>
                <w:color w:val="000000" w:themeColor="text1"/>
                <w:sz w:val="20"/>
                <w:szCs w:val="20"/>
              </w:rPr>
              <w:t>人，其中管理人员</w:t>
            </w:r>
            <w:r>
              <w:rPr>
                <w:rFonts w:ascii="宋体" w:hAnsi="宋体"/>
                <w:b/>
                <w:color w:val="000000" w:themeColor="text1"/>
                <w:sz w:val="20"/>
                <w:szCs w:val="20"/>
              </w:rPr>
              <w:t>6</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生产设备清单：全自动电脑铣齿机、配齿机、仪表车床、带锯床、铝管下料机、台钻、台式攻丝机、抛管机、自动缩管机等</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安全环保设备：灭火器、警示牌、防护用品</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办公设备：电脑、打印机、电话</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生产面积</w:t>
            </w:r>
            <w:r>
              <w:rPr>
                <w:rFonts w:ascii="宋体" w:hAnsi="宋体"/>
                <w:b/>
                <w:color w:val="000000" w:themeColor="text1"/>
                <w:sz w:val="20"/>
                <w:szCs w:val="20"/>
              </w:rPr>
              <w:t>1000</w:t>
            </w:r>
            <w:r>
              <w:rPr>
                <w:rFonts w:hint="eastAsia" w:ascii="宋体" w:hAnsi="宋体"/>
                <w:b/>
                <w:color w:val="000000" w:themeColor="text1"/>
                <w:sz w:val="20"/>
                <w:szCs w:val="20"/>
              </w:rPr>
              <w:t>平米，办公面积约500平米，库房面积约</w:t>
            </w:r>
            <w:r>
              <w:rPr>
                <w:rFonts w:ascii="宋体" w:hAnsi="宋体"/>
                <w:b/>
                <w:color w:val="000000" w:themeColor="text1"/>
                <w:sz w:val="20"/>
                <w:szCs w:val="20"/>
              </w:rPr>
              <w:t>8</w:t>
            </w:r>
            <w:r>
              <w:rPr>
                <w:rFonts w:hint="eastAsia" w:ascii="宋体" w:hAnsi="宋体"/>
                <w:b/>
                <w:color w:val="000000" w:themeColor="text1"/>
                <w:sz w:val="20"/>
                <w:szCs w:val="20"/>
              </w:rPr>
              <w:t>00平米，工序布局合理，场所卫生干净整洁，配有通风设施，工作环境良好。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办公区有灭火器，并在有效期内。</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办公人员在工作前及工作结束后能够及时清理环境及关闭设备。</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组织对服务质量进行检查、对顾客满意度进行调查，制定了对应表格。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公司确定了支持其经营生产适用的的50项法律、法规和其他要求。</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包含：</w:t>
            </w:r>
            <w:r>
              <w:rPr>
                <w:rFonts w:ascii="宋体" w:hAnsi="宋体"/>
                <w:b/>
                <w:color w:val="000000" w:themeColor="text1"/>
                <w:sz w:val="20"/>
                <w:szCs w:val="20"/>
              </w:rPr>
              <w:t>产品质量法、合同法、标准化法、招标投标法、</w:t>
            </w:r>
            <w:r>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环境保护法、安全生产法、消防法、《中华人民共和国土壤污染防治法》、《中华人民共和国固体废物污染环境防治法》、《中华人民共和国水污染防治法》、《土壤环境质量 建设用地土壤污染风险管控标准（试行）》（GB36600-2018）、《地下水质量标准》(GB/T 14848-2017)、《生活饮用水卫生标准》(GB 5749-2006)、）</w:t>
            </w:r>
            <w:r>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Pr>
                <w:rFonts w:hint="eastAsia" w:ascii="宋体" w:hAnsi="宋体"/>
                <w:b/>
                <w:color w:val="000000" w:themeColor="text1"/>
                <w:sz w:val="20"/>
                <w:szCs w:val="20"/>
              </w:rPr>
              <w:t>，收集基本全面。主要来源为国家生态环境部等官方网站发布，及时与顾客沟通确保最新版本。</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对外来文件进行了登记识别，制定有年度培训计划，培训内容包含管理体系、环境因素识别、危险源辨识、内审培训、应急安全培训等内容。</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
                <w:color w:val="000000" w:themeColor="text1"/>
                <w:sz w:val="20"/>
                <w:szCs w:val="20"/>
              </w:rPr>
              <w:t>1.管理方针：</w:t>
            </w:r>
          </w:p>
          <w:p>
            <w:pPr>
              <w:spacing w:line="300" w:lineRule="exact"/>
              <w:ind w:left="1"/>
              <w:rPr>
                <w:b/>
                <w:bCs/>
                <w:color w:val="000000" w:themeColor="text1"/>
                <w:sz w:val="20"/>
                <w:szCs w:val="20"/>
              </w:rPr>
            </w:pPr>
            <w:r>
              <w:rPr>
                <w:rFonts w:hint="eastAsia"/>
                <w:b/>
                <w:bCs/>
                <w:color w:val="000000" w:themeColor="text1"/>
                <w:sz w:val="20"/>
                <w:szCs w:val="20"/>
              </w:rPr>
              <w:t>节能降耗，防治污染，保护环境；</w:t>
            </w:r>
          </w:p>
          <w:p>
            <w:pPr>
              <w:spacing w:line="300" w:lineRule="exact"/>
              <w:ind w:left="1"/>
              <w:rPr>
                <w:b/>
                <w:bCs/>
                <w:color w:val="000000" w:themeColor="text1"/>
                <w:sz w:val="20"/>
                <w:szCs w:val="20"/>
              </w:rPr>
            </w:pPr>
            <w:r>
              <w:rPr>
                <w:rFonts w:hint="eastAsia"/>
                <w:b/>
                <w:bCs/>
                <w:color w:val="000000" w:themeColor="text1"/>
                <w:sz w:val="20"/>
                <w:szCs w:val="20"/>
              </w:rPr>
              <w:t>安全第一，保障健康，减少风险；</w:t>
            </w:r>
          </w:p>
          <w:p>
            <w:pPr>
              <w:spacing w:line="300" w:lineRule="exact"/>
              <w:ind w:left="1"/>
              <w:rPr>
                <w:rFonts w:hint="eastAsia"/>
                <w:b/>
                <w:bCs/>
                <w:color w:val="000000" w:themeColor="text1"/>
                <w:sz w:val="20"/>
                <w:szCs w:val="20"/>
              </w:rPr>
            </w:pPr>
            <w:r>
              <w:rPr>
                <w:rFonts w:hint="eastAsia"/>
                <w:b/>
                <w:bCs/>
                <w:color w:val="000000" w:themeColor="text1"/>
                <w:sz w:val="20"/>
                <w:szCs w:val="20"/>
              </w:rPr>
              <w:t>全员参与，遵守法规，持续改进。</w:t>
            </w:r>
          </w:p>
          <w:p>
            <w:pPr>
              <w:spacing w:line="300" w:lineRule="exact"/>
              <w:ind w:left="1"/>
              <w:rPr>
                <w:b/>
                <w:color w:val="000000" w:themeColor="text1"/>
                <w:sz w:val="20"/>
                <w:szCs w:val="20"/>
              </w:rPr>
            </w:pPr>
            <w:r>
              <w:rPr>
                <w:b/>
                <w:color w:val="000000" w:themeColor="text1"/>
                <w:sz w:val="20"/>
                <w:szCs w:val="20"/>
              </w:rPr>
              <w:t>2.</w:t>
            </w:r>
            <w:r>
              <w:rPr>
                <w:rFonts w:hint="eastAsia"/>
                <w:b/>
                <w:color w:val="000000" w:themeColor="text1"/>
                <w:sz w:val="20"/>
                <w:szCs w:val="20"/>
              </w:rPr>
              <w:t>管理方针与企业的经营宗旨相适应，协调；</w:t>
            </w:r>
          </w:p>
          <w:p>
            <w:pPr>
              <w:spacing w:line="300" w:lineRule="exact"/>
              <w:ind w:left="1"/>
              <w:rPr>
                <w:b/>
                <w:color w:val="000000" w:themeColor="text1"/>
                <w:sz w:val="20"/>
                <w:szCs w:val="20"/>
              </w:rPr>
            </w:pPr>
            <w:r>
              <w:rPr>
                <w:b/>
                <w:color w:val="000000" w:themeColor="text1"/>
                <w:sz w:val="20"/>
                <w:szCs w:val="20"/>
              </w:rPr>
              <w:t>3.</w:t>
            </w:r>
            <w:r>
              <w:rPr>
                <w:rFonts w:hint="eastAsia"/>
                <w:b/>
                <w:color w:val="000000" w:themeColor="text1"/>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内部沟通的情况：内部沟通方式：文件、会议、电话、网络、面谈等方式进行内部沟通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ascii="楷体_GB2312" w:eastAsia="楷体_GB2312"/>
                <w:b/>
                <w:color w:val="000000" w:themeColor="text1"/>
                <w:sz w:val="20"/>
                <w:szCs w:val="20"/>
              </w:rPr>
              <w:t xml:space="preserve"> </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外部信息的接收、成文并答复的情况（E、S填写）：与上级主管部门的沟通，目前沟通都较为顺畅。</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重要环境因素信息对外交流情况（EMS填写）：外部沟通：文件、会议、电话、面谈、网络等，主要与顾客、供方、上级主管部门的沟通，目前各项沟通都较为顺畅。</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与相关方协商的情况（OHSMS填写）：协商沟通良好。</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编制环境因素识别与评价控制程序、环境安全运行控制程序、废弃物控制程序、节能降耗控制程序、消防安全管理制度、综合部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b/>
                <w:color w:val="000000" w:themeColor="text1"/>
                <w:sz w:val="20"/>
                <w:szCs w:val="20"/>
              </w:rPr>
            </w:pPr>
            <w:r>
              <w:rPr>
                <w:rFonts w:hint="eastAsia"/>
                <w:b/>
                <w:color w:val="000000" w:themeColor="text1"/>
                <w:sz w:val="20"/>
                <w:szCs w:val="20"/>
                <w:lang w:val="en-GB"/>
              </w:rPr>
              <w:t>编制</w:t>
            </w:r>
            <w:r>
              <w:rPr>
                <w:rFonts w:hint="eastAsia"/>
                <w:b/>
                <w:color w:val="000000" w:themeColor="text1"/>
                <w:sz w:val="20"/>
                <w:szCs w:val="20"/>
              </w:rPr>
              <w:t>危险源识别、风险评价控制程序，环境安全运行控制程序，消防安全管理制度，</w:t>
            </w:r>
            <w:r>
              <w:rPr>
                <w:rFonts w:hint="eastAsia"/>
                <w:b/>
                <w:color w:val="000000" w:themeColor="text1"/>
                <w:sz w:val="20"/>
                <w:szCs w:val="20"/>
                <w:lang w:val="en-GB"/>
              </w:rPr>
              <w:t>综合部安全管理制度，车辆管理规定，电脑使用管理办法，服务人员工作规范等，针对各部门所负责的工作，对危险源进行控制</w:t>
            </w:r>
            <w:r>
              <w:rPr>
                <w:rFonts w:hint="eastAsia"/>
                <w:b/>
                <w:color w:val="000000" w:themeColor="text1"/>
                <w:sz w:val="20"/>
                <w:szCs w:val="20"/>
              </w:rPr>
              <w:t>涉及有</w:t>
            </w:r>
            <w:r>
              <w:rPr>
                <w:rFonts w:hint="eastAsia"/>
                <w:b/>
                <w:color w:val="000000" w:themeColor="text1"/>
                <w:sz w:val="20"/>
                <w:szCs w:val="20"/>
                <w:lang w:val="en-GB"/>
              </w:rPr>
              <w:t>火灾、触电、</w:t>
            </w:r>
            <w:r>
              <w:rPr>
                <w:rFonts w:hint="eastAsia"/>
                <w:b/>
                <w:color w:val="000000" w:themeColor="text1"/>
                <w:sz w:val="20"/>
                <w:szCs w:val="20"/>
              </w:rPr>
              <w:t>车辆</w:t>
            </w:r>
            <w:r>
              <w:rPr>
                <w:rFonts w:hint="eastAsia"/>
                <w:b/>
                <w:color w:val="000000" w:themeColor="text1"/>
                <w:sz w:val="20"/>
                <w:szCs w:val="20"/>
                <w:lang w:val="en-GB"/>
              </w:rPr>
              <w:t>伤害</w:t>
            </w:r>
            <w:r>
              <w:rPr>
                <w:rFonts w:hint="eastAsia"/>
                <w:b/>
                <w:color w:val="000000" w:themeColor="text1"/>
                <w:sz w:val="20"/>
                <w:szCs w:val="20"/>
              </w:rPr>
              <w:t>、相关方施加影响等进行控制，具体措施有对员工进行安全教育，发放劳保用品</w:t>
            </w:r>
            <w:r>
              <w:rPr>
                <w:rFonts w:hint="eastAsia"/>
                <w:b/>
                <w:bCs/>
                <w:color w:val="000000" w:themeColor="text1"/>
                <w:sz w:val="20"/>
                <w:szCs w:val="20"/>
              </w:rPr>
              <w:t>。</w:t>
            </w:r>
            <w:r>
              <w:rPr>
                <w:rFonts w:hint="eastAsia"/>
                <w:b/>
                <w:color w:val="000000" w:themeColor="text1"/>
                <w:sz w:val="20"/>
                <w:szCs w:val="20"/>
              </w:rPr>
              <w:t>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b/>
                <w:color w:val="000000" w:themeColor="text1"/>
                <w:spacing w:val="-4"/>
                <w:sz w:val="20"/>
                <w:szCs w:val="20"/>
                <w:lang w:val="en-GB"/>
              </w:rPr>
              <w:t>编制应急准备和响应控制程序，识别的潜在意外紧急情况为火灾、触电等。编制了应急预案，组织了消防演练</w:t>
            </w:r>
            <w:r>
              <w:rPr>
                <w:rFonts w:hint="eastAsia"/>
                <w:b/>
                <w:color w:val="000000" w:themeColor="text1"/>
                <w:spacing w:val="-4"/>
                <w:sz w:val="20"/>
                <w:szCs w:val="20"/>
              </w:rPr>
              <w:t>演练</w:t>
            </w:r>
            <w:r>
              <w:rPr>
                <w:rFonts w:hint="eastAsia"/>
                <w:b/>
                <w:color w:val="000000" w:themeColor="text1"/>
                <w:spacing w:val="-4"/>
                <w:sz w:val="20"/>
                <w:szCs w:val="20"/>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b/>
                <w:color w:val="000000" w:themeColor="text1"/>
                <w:sz w:val="20"/>
                <w:szCs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按照策划的安排于</w:t>
            </w:r>
            <w:r>
              <w:rPr>
                <w:b/>
                <w:color w:val="000000" w:themeColor="text1"/>
                <w:sz w:val="20"/>
                <w:szCs w:val="20"/>
              </w:rPr>
              <w:t>20</w:t>
            </w:r>
            <w:r>
              <w:rPr>
                <w:rFonts w:hint="eastAsia"/>
                <w:b/>
                <w:color w:val="000000" w:themeColor="text1"/>
                <w:sz w:val="20"/>
                <w:szCs w:val="20"/>
              </w:rPr>
              <w:t>20年1</w:t>
            </w:r>
            <w:r>
              <w:rPr>
                <w:b/>
                <w:color w:val="000000" w:themeColor="text1"/>
                <w:sz w:val="20"/>
                <w:szCs w:val="20"/>
              </w:rPr>
              <w:t>0</w:t>
            </w:r>
            <w:r>
              <w:rPr>
                <w:rFonts w:hint="eastAsia"/>
                <w:b/>
                <w:color w:val="000000" w:themeColor="text1"/>
                <w:sz w:val="20"/>
                <w:szCs w:val="20"/>
              </w:rPr>
              <w:t>月</w:t>
            </w:r>
            <w:r>
              <w:rPr>
                <w:b/>
                <w:color w:val="000000" w:themeColor="text1"/>
                <w:sz w:val="20"/>
                <w:szCs w:val="20"/>
              </w:rPr>
              <w:t>15</w:t>
            </w:r>
            <w:r>
              <w:rPr>
                <w:rFonts w:hint="eastAsia"/>
                <w:b/>
                <w:color w:val="000000" w:themeColor="text1"/>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按照策划的安排于</w:t>
            </w:r>
            <w:r>
              <w:rPr>
                <w:b/>
                <w:color w:val="000000" w:themeColor="text1"/>
                <w:sz w:val="20"/>
                <w:szCs w:val="20"/>
              </w:rPr>
              <w:t>20</w:t>
            </w:r>
            <w:r>
              <w:rPr>
                <w:rFonts w:hint="eastAsia"/>
                <w:b/>
                <w:color w:val="000000" w:themeColor="text1"/>
                <w:sz w:val="20"/>
                <w:szCs w:val="20"/>
              </w:rPr>
              <w:t>20年</w:t>
            </w:r>
            <w:r>
              <w:rPr>
                <w:b/>
                <w:color w:val="000000" w:themeColor="text1"/>
                <w:sz w:val="20"/>
                <w:szCs w:val="20"/>
              </w:rPr>
              <w:t>10</w:t>
            </w:r>
            <w:r>
              <w:rPr>
                <w:rFonts w:hint="eastAsia"/>
                <w:b/>
                <w:color w:val="000000" w:themeColor="text1"/>
                <w:sz w:val="20"/>
                <w:szCs w:val="20"/>
              </w:rPr>
              <w:t>月</w:t>
            </w:r>
            <w:r>
              <w:rPr>
                <w:b/>
                <w:color w:val="000000" w:themeColor="text1"/>
                <w:sz w:val="20"/>
                <w:szCs w:val="20"/>
              </w:rPr>
              <w:t>20</w:t>
            </w:r>
            <w:r>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提供了建设项目环境影响批复意见和验收。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rPr>
            </w:pPr>
            <w:r>
              <w:rPr>
                <w:rFonts w:hint="eastAsia"/>
              </w:rPr>
              <w:t>上次不符合的整改情况（再认证填写）</w:t>
            </w:r>
          </w:p>
          <w:p>
            <w:pPr>
              <w:spacing w:before="120" w:line="160" w:lineRule="exact"/>
              <w:rPr>
                <w:rFonts w:hint="default" w:eastAsia="方正仿宋简体"/>
                <w:lang w:val="en-US" w:eastAsia="zh-CN"/>
              </w:rPr>
            </w:pPr>
            <w:r>
              <w:rPr>
                <w:rFonts w:hint="eastAsia"/>
                <w:lang w:val="en-US" w:eastAsia="zh-CN"/>
              </w:rPr>
              <w:t>上次审核不符合：“</w:t>
            </w:r>
            <w:r>
              <w:rPr>
                <w:rFonts w:hint="eastAsia" w:ascii="方正仿宋简体" w:eastAsia="方正仿宋简体"/>
                <w:b/>
              </w:rPr>
              <w:t>重要环境因素中未包含固体废弃物的丢弃</w:t>
            </w:r>
            <w:r>
              <w:rPr>
                <w:rFonts w:hint="eastAsia" w:ascii="方正仿宋简体" w:eastAsia="方正仿宋简体"/>
                <w:b/>
                <w:lang w:eastAsia="zh-CN"/>
              </w:rPr>
              <w:t>”，</w:t>
            </w:r>
            <w:r>
              <w:rPr>
                <w:rFonts w:hint="eastAsia" w:ascii="方正仿宋简体" w:eastAsia="方正仿宋简体"/>
                <w:b/>
                <w:lang w:val="en-US" w:eastAsia="zh-CN"/>
              </w:rPr>
              <w:t>已经整改，本次未出现，整改有效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31" o:spt="20" style="position:absolute;left:0pt;margin-left:210pt;margin-top:16.2pt;height:0pt;width:0pt;z-index:251663360;mso-width-relative:page;mso-height-relative:page;" coordsize="21600,21600" o:allowincell="f">
            <v:path arrowok="t"/>
            <v:fill focussize="0,0"/>
            <v:stroke/>
            <v:imagedata o:title=""/>
            <o:lock v:ext="edit"/>
          </v:line>
        </w:pict>
      </w:r>
      <w:r>
        <w:rPr>
          <w:rFonts w:hint="eastAsia"/>
          <w:b/>
          <w:color w:val="000000" w:themeColor="text1"/>
        </w:rPr>
        <w:t>严重不符合0项，一般不符合</w:t>
      </w:r>
      <w:r>
        <w:rPr>
          <w:rFonts w:hint="eastAsia"/>
          <w:b/>
          <w:color w:val="000000" w:themeColor="text1"/>
          <w:lang w:val="en-US" w:eastAsia="zh-CN"/>
        </w:rPr>
        <w:t>0</w:t>
      </w:r>
      <w:r>
        <w:rPr>
          <w:rFonts w:hint="eastAsia"/>
          <w:b/>
          <w:color w:val="000000" w:themeColor="text1"/>
        </w:rPr>
        <w:t>项，观察项0项分布在部门综合部条款GB/T 24001-2016 idt ISO 14001:2015标准条款</w:t>
      </w:r>
      <w:r>
        <w:rPr>
          <w:b/>
          <w:color w:val="000000" w:themeColor="text1"/>
        </w:rPr>
        <w:t>6.1.2</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eastAsia="MS Mincho" w:cs="MS Mincho"/>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MS Mincho" w:hAnsi="MS Mincho" w:eastAsia="MS Mincho" w:cs="MS Mincho"/>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b/>
                <w:color w:val="auto"/>
                <w:kern w:val="2"/>
                <w:sz w:val="21"/>
                <w:szCs w:val="21"/>
                <w:lang w:val="en-GB"/>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十堰安恒汽车零部件有限公司</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r>
              <w:rPr>
                <w:rFonts w:hint="eastAsia"/>
                <w:b/>
                <w:color w:val="000000" w:themeColor="text1"/>
                <w:sz w:val="22"/>
                <w:szCs w:val="22"/>
              </w:rPr>
              <w:t>组织建立并实施的环境管理体系和职业健康安全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rFonts w:hint="eastAsia"/>
                <w:color w:val="auto"/>
              </w:rPr>
            </w:pPr>
          </w:p>
          <w:p>
            <w:pPr>
              <w:spacing w:line="240" w:lineRule="exact"/>
              <w:rPr>
                <w:color w:val="auto"/>
              </w:rPr>
            </w:pPr>
            <w:r>
              <w:rPr>
                <w:rFonts w:hint="eastAsia"/>
                <w:color w:val="auto"/>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MS Mincho" w:hAnsi="MS Mincho" w:eastAsia="MS Mincho" w:cs="MS Mincho"/>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rPr>
            </w:pPr>
            <w:r>
              <w:rPr>
                <w:rFonts w:hint="eastAsia" w:ascii="宋体" w:hAnsi="宋体"/>
                <w:b/>
                <w:color w:val="000000" w:themeColor="text1"/>
              </w:rPr>
              <w:t>EMS</w:t>
            </w:r>
            <w:r>
              <w:rPr>
                <w:rFonts w:hint="eastAsia" w:ascii="宋体" w:hAnsi="宋体"/>
                <w:b/>
                <w:color w:val="000000" w:themeColor="text1"/>
                <w:lang w:val="en-GB"/>
              </w:rPr>
              <w:t>:</w:t>
            </w:r>
            <w:r>
              <w:rPr>
                <w:sz w:val="20"/>
                <w:szCs w:val="20"/>
              </w:rPr>
              <w:t xml:space="preserve"> </w:t>
            </w:r>
            <w:r>
              <w:rPr>
                <w:rFonts w:ascii="宋体" w:hAnsi="宋体"/>
                <w:b/>
                <w:color w:val="000000" w:themeColor="text1"/>
              </w:rPr>
              <w:t>汽车用油量传感器、中控锁、翘班开关的组装所涉及场所的相关环境管理活动</w:t>
            </w:r>
          </w:p>
          <w:p>
            <w:pPr>
              <w:spacing w:line="320" w:lineRule="exact"/>
              <w:rPr>
                <w:rFonts w:ascii="宋体" w:hAnsi="宋体"/>
                <w:b/>
                <w:color w:val="000000" w:themeColor="text1"/>
              </w:rPr>
            </w:pPr>
          </w:p>
          <w:p>
            <w:pPr>
              <w:spacing w:line="320" w:lineRule="exact"/>
              <w:rPr>
                <w:rFonts w:ascii="宋体" w:hAnsi="宋体"/>
                <w:b/>
                <w:color w:val="000000" w:themeColor="text1"/>
                <w:u w:val="single"/>
                <w:lang w:val="en-GB"/>
              </w:rPr>
            </w:pPr>
          </w:p>
          <w:p>
            <w:pPr>
              <w:snapToGrid w:val="0"/>
              <w:spacing w:line="28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ascii="宋体" w:hAnsi="宋体"/>
                <w:b/>
                <w:color w:val="000000" w:themeColor="text1"/>
              </w:rPr>
              <w:t xml:space="preserve"> 汽车用油量传感器、中控锁、翘班开关的组装所涉及场所相关的职业健康安全管理活动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MS Mincho" w:hAnsi="MS Mincho" w:cs="MS Mincho"/>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ascii="MS Mincho" w:hAnsi="MS Mincho" w:cs="MS Mincho"/>
                <w:szCs w:val="21"/>
                <w:lang w:eastAsia="zh-CN"/>
              </w:rPr>
              <w:t>□</w:t>
            </w:r>
            <w:r>
              <w:rPr>
                <w:rFonts w:hint="eastAsia"/>
                <w:b/>
                <w:color w:val="000000" w:themeColor="text1"/>
                <w:szCs w:val="21"/>
              </w:rPr>
              <w:t xml:space="preserve">EMS   </w:t>
            </w:r>
            <w:r>
              <w:rPr>
                <w:rFonts w:hint="eastAsia" w:ascii="MS Mincho" w:hAnsi="MS Mincho" w:cs="MS Mincho"/>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spacing w:line="360" w:lineRule="auto"/>
        <w:ind w:left="1" w:leftChars="-472" w:hanging="992" w:hangingChars="380"/>
        <w:rPr>
          <w:rFonts w:hint="eastAsia"/>
          <w:b/>
          <w:color w:val="000000" w:themeColor="text1"/>
          <w:sz w:val="26"/>
          <w:szCs w:val="26"/>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43940" cy="334645"/>
            <wp:effectExtent l="0" t="0" r="1016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043940" cy="33464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日期2</w:t>
      </w:r>
      <w:r>
        <w:rPr>
          <w:b/>
          <w:color w:val="000000" w:themeColor="text1"/>
        </w:rPr>
        <w:t>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b/>
          <w:color w:val="000000" w:themeColor="text1"/>
          <w:szCs w:val="21"/>
        </w:rPr>
        <w:t xml:space="preserve">                          日期:   </w:t>
      </w:r>
      <w:r>
        <w:rPr>
          <w:b/>
          <w:color w:val="000000" w:themeColor="text1"/>
          <w:szCs w:val="21"/>
        </w:rPr>
        <w:t>202</w:t>
      </w:r>
      <w:r>
        <w:rPr>
          <w:rFonts w:hint="eastAsia"/>
          <w:b/>
          <w:color w:val="000000" w:themeColor="text1"/>
          <w:szCs w:val="21"/>
          <w:lang w:val="en-US" w:eastAsia="zh-CN"/>
        </w:rPr>
        <w:t>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4</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10CAA"/>
    <w:multiLevelType w:val="singleLevel"/>
    <w:tmpl w:val="94410CAA"/>
    <w:lvl w:ilvl="0" w:tentative="0">
      <w:start w:val="5"/>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46C7"/>
    <w:rsid w:val="002B46C7"/>
    <w:rsid w:val="003009AE"/>
    <w:rsid w:val="00307497"/>
    <w:rsid w:val="0095127F"/>
    <w:rsid w:val="33D3758F"/>
    <w:rsid w:val="4D07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1415</Words>
  <Characters>8070</Characters>
  <Lines>67</Lines>
  <Paragraphs>18</Paragraphs>
  <TotalTime>0</TotalTime>
  <ScaleCrop>false</ScaleCrop>
  <LinksUpToDate>false</LinksUpToDate>
  <CharactersWithSpaces>9467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2021-04-04T01:51:50Z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37283808A55B4A7386D9EFE1BEA8AB12</vt:lpwstr>
  </property>
</Properties>
</file>