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lang w:val="en-US" w:eastAsia="zh-CN"/>
              </w:rPr>
              <w:t xml:space="preserve">采购仓储部 </w:t>
            </w:r>
            <w:r>
              <w:rPr>
                <w:rFonts w:hint="eastAsia"/>
                <w:b w:val="0"/>
                <w:bCs w:val="0"/>
                <w:sz w:val="24"/>
                <w:szCs w:val="24"/>
                <w:lang w:val="en-US" w:eastAsia="zh-CN"/>
              </w:rPr>
              <w:t xml:space="preserve"> </w:t>
            </w:r>
            <w:r>
              <w:rPr>
                <w:rFonts w:hint="eastAsia"/>
                <w:b w:val="0"/>
                <w:bCs w:val="0"/>
                <w:sz w:val="24"/>
                <w:szCs w:val="24"/>
              </w:rPr>
              <w:t>主管领导</w:t>
            </w:r>
            <w:r>
              <w:rPr>
                <w:rFonts w:hint="eastAsia"/>
              </w:rPr>
              <w:t>：贾瑞琴     陪同人员：</w:t>
            </w:r>
            <w:r>
              <w:rPr>
                <w:rFonts w:hint="eastAsia" w:ascii="宋体" w:hAnsi="宋体" w:cs="宋体"/>
                <w:kern w:val="0"/>
                <w:sz w:val="24"/>
                <w:szCs w:val="24"/>
              </w:rPr>
              <w:t>史龙会</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sz w:val="18"/>
                <w:szCs w:val="18"/>
              </w:rPr>
              <w:t>陈俊</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2021.4.4</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ascii="宋体" w:hAnsi="宋体"/>
                <w:b w:val="0"/>
                <w:bCs w:val="0"/>
                <w:sz w:val="18"/>
              </w:rPr>
            </w:pPr>
            <w:r>
              <w:rPr>
                <w:rFonts w:hint="eastAsia"/>
                <w:b w:val="0"/>
                <w:bCs w:val="0"/>
                <w:sz w:val="24"/>
                <w:szCs w:val="24"/>
              </w:rPr>
              <w:t>审核条款：</w:t>
            </w:r>
            <w:r>
              <w:rPr>
                <w:rFonts w:hint="eastAsia" w:ascii="宋体" w:hAnsi="宋体"/>
                <w:sz w:val="18"/>
                <w:lang w:val="en-US" w:eastAsia="zh-CN"/>
              </w:rPr>
              <w:t>E</w:t>
            </w:r>
            <w:r>
              <w:rPr>
                <w:rFonts w:hint="eastAsia" w:ascii="宋体" w:hAnsi="宋体"/>
                <w:sz w:val="18"/>
              </w:rPr>
              <w:t>S</w:t>
            </w:r>
            <w:r>
              <w:rPr>
                <w:rFonts w:ascii="宋体" w:hAnsi="宋体"/>
                <w:sz w:val="18"/>
              </w:rPr>
              <w:t>:5.3</w:t>
            </w:r>
            <w:r>
              <w:rPr>
                <w:rFonts w:hint="eastAsia" w:ascii="宋体" w:hAnsi="宋体"/>
                <w:sz w:val="18"/>
              </w:rPr>
              <w:t>/</w:t>
            </w:r>
            <w:r>
              <w:rPr>
                <w:rFonts w:hint="eastAsia" w:ascii="宋体" w:hAnsi="宋体"/>
                <w:sz w:val="18"/>
                <w:lang w:val="en-US" w:eastAsia="zh-CN"/>
              </w:rPr>
              <w:t>6.1.2/</w:t>
            </w:r>
            <w:r>
              <w:rPr>
                <w:rFonts w:hint="eastAsia" w:ascii="宋体" w:hAnsi="宋体"/>
                <w:sz w:val="18"/>
              </w:rPr>
              <w:t>6.2/</w:t>
            </w:r>
            <w:r>
              <w:rPr>
                <w:rFonts w:hint="eastAsia" w:ascii="宋体" w:hAnsi="宋体"/>
                <w:sz w:val="18"/>
                <w:lang w:val="en-US" w:eastAsia="zh-CN"/>
              </w:rPr>
              <w:t>7.1/</w:t>
            </w:r>
            <w:r>
              <w:rPr>
                <w:rFonts w:ascii="宋体" w:hAnsi="宋体"/>
                <w:sz w:val="18"/>
              </w:rPr>
              <w:t>8.1/8.</w:t>
            </w:r>
            <w:r>
              <w:rPr>
                <w:rFonts w:hint="eastAsia" w:ascii="宋体" w:hAnsi="宋体"/>
                <w:sz w:val="18"/>
                <w:lang w:val="en-US" w:eastAsia="zh-CN"/>
              </w:rPr>
              <w:t>2</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S</w:t>
            </w:r>
            <w:r>
              <w:rPr>
                <w:rFonts w:hint="eastAsia"/>
                <w:b w:val="0"/>
                <w:bCs w:val="0"/>
                <w:szCs w:val="21"/>
              </w:rPr>
              <w:t>5.3</w:t>
            </w:r>
          </w:p>
          <w:p>
            <w:pPr>
              <w:rPr>
                <w:b w:val="0"/>
                <w:bCs w:val="0"/>
              </w:rPr>
            </w:pPr>
          </w:p>
        </w:tc>
        <w:tc>
          <w:tcPr>
            <w:tcW w:w="10004" w:type="dxa"/>
          </w:tcPr>
          <w:p>
            <w:pPr>
              <w:rPr>
                <w:rFonts w:hint="eastAsia"/>
              </w:rPr>
            </w:pPr>
            <w:r>
              <w:rPr>
                <w:rFonts w:hint="eastAsia"/>
              </w:rPr>
              <w:t>采购仓储部的职责为：a )负责劳保用品，设备和耗材的采购和对供应商评价</w:t>
            </w:r>
          </w:p>
          <w:p>
            <w:pPr>
              <w:rPr>
                <w:rFonts w:hint="eastAsia"/>
              </w:rPr>
            </w:pPr>
            <w:r>
              <w:rPr>
                <w:rFonts w:hint="eastAsia"/>
              </w:rPr>
              <w:t>b )负责产品的入库验收</w:t>
            </w:r>
          </w:p>
          <w:p>
            <w:r>
              <w:rPr>
                <w:rFonts w:hint="eastAsia"/>
              </w:rPr>
              <w:t>c</w:t>
            </w:r>
            <w:r>
              <w:t>)</w:t>
            </w:r>
            <w:r>
              <w:rPr>
                <w:rFonts w:hint="eastAsia"/>
              </w:rPr>
              <w:t>负责入库产品不合格评价和处理</w:t>
            </w:r>
          </w:p>
          <w:p>
            <w:pPr>
              <w:rPr>
                <w:rFonts w:hint="eastAsia"/>
              </w:rPr>
            </w:pPr>
            <w:r>
              <w:rPr>
                <w:rFonts w:hint="eastAsia"/>
              </w:rPr>
              <w:t>d</w:t>
            </w:r>
            <w:r>
              <w:t>)</w:t>
            </w:r>
            <w:r>
              <w:rPr>
                <w:rFonts w:hint="eastAsia"/>
              </w:rPr>
              <w:t>负责入库产品进行正确标识，便于识别</w:t>
            </w:r>
          </w:p>
          <w:p>
            <w:pPr>
              <w:rPr>
                <w:rFonts w:hint="eastAsia"/>
              </w:rPr>
            </w:pPr>
            <w:r>
              <w:rPr>
                <w:rFonts w:hint="eastAsia"/>
              </w:rPr>
              <w:t>e</w:t>
            </w:r>
            <w:r>
              <w:t>)</w:t>
            </w:r>
            <w:r>
              <w:rPr>
                <w:rFonts w:hint="eastAsia"/>
              </w:rPr>
              <w:t xml:space="preserve"> 负责对出厂产品进行包装防护</w:t>
            </w:r>
          </w:p>
          <w:p>
            <w:pPr>
              <w:rPr>
                <w:rFonts w:hint="eastAsia"/>
              </w:rPr>
            </w:pPr>
            <w:r>
              <w:rPr>
                <w:rFonts w:hint="eastAsia"/>
              </w:rPr>
              <w:t>f）负责本部门环境因素的识别和控制</w:t>
            </w:r>
          </w:p>
          <w:p>
            <w:pPr>
              <w:rPr>
                <w:rFonts w:hint="eastAsia"/>
              </w:rPr>
            </w:pPr>
            <w:r>
              <w:rPr>
                <w:rFonts w:hint="eastAsia"/>
              </w:rPr>
              <w:t>g)负责本部门职业健康安全风险和其他职业健康安全管理体系风险的评价</w:t>
            </w:r>
          </w:p>
          <w:p>
            <w:r>
              <w:rPr>
                <w:rFonts w:hint="eastAsia"/>
              </w:rPr>
              <w:t>h)负责识别职业健康安全机遇和其他机遇</w:t>
            </w:r>
          </w:p>
          <w:p>
            <w:pPr>
              <w:pStyle w:val="2"/>
              <w:rPr>
                <w:rFonts w:hint="default"/>
                <w:b w:val="0"/>
                <w:bCs w:val="0"/>
                <w:lang w:val="en-US" w:eastAsia="zh-CN"/>
              </w:rPr>
            </w:pPr>
            <w:r>
              <w:rPr>
                <w:rFonts w:hint="eastAsia"/>
              </w:rPr>
              <w:t>询问部门负责人，职责明确。。</w:t>
            </w: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S</w:t>
            </w:r>
            <w:r>
              <w:rPr>
                <w:rFonts w:ascii="Times New Roman" w:hAnsi="Times New Roman" w:eastAsia="宋体" w:cs="Lucida Sans"/>
                <w:b w:val="0"/>
                <w:bCs w:val="0"/>
                <w:szCs w:val="20"/>
              </w:rPr>
              <w:t>6.2</w:t>
            </w:r>
          </w:p>
          <w:p>
            <w:pPr>
              <w:rPr>
                <w:b w:val="0"/>
                <w:bCs w:val="0"/>
              </w:rPr>
            </w:pPr>
          </w:p>
        </w:tc>
        <w:tc>
          <w:tcPr>
            <w:tcW w:w="10004" w:type="dxa"/>
          </w:tcPr>
          <w:p>
            <w:pPr>
              <w:rPr>
                <w:bCs/>
              </w:rPr>
            </w:pPr>
            <w:r>
              <w:rPr>
                <w:rFonts w:hint="eastAsia"/>
                <w:bCs/>
              </w:rPr>
              <w:t>管理目标指标</w:t>
            </w:r>
          </w:p>
          <w:p>
            <w:pPr>
              <w:rPr>
                <w:bCs/>
              </w:rPr>
            </w:pPr>
            <w:r>
              <w:rPr>
                <w:bCs/>
              </w:rPr>
              <w:t>1</w:t>
            </w:r>
            <w:r>
              <w:rPr>
                <w:rFonts w:hint="eastAsia"/>
                <w:bCs/>
              </w:rPr>
              <w:t>环境总目标指标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604"/>
              <w:gridCol w:w="224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4" w:type="dxa"/>
                  <w:vAlign w:val="center"/>
                </w:tcPr>
                <w:p>
                  <w:pPr>
                    <w:rPr>
                      <w:bCs/>
                    </w:rPr>
                  </w:pPr>
                  <w:r>
                    <w:rPr>
                      <w:rFonts w:hint="eastAsia"/>
                      <w:bCs/>
                    </w:rPr>
                    <w:t>序号</w:t>
                  </w:r>
                </w:p>
              </w:tc>
              <w:tc>
                <w:tcPr>
                  <w:tcW w:w="2604" w:type="dxa"/>
                  <w:vAlign w:val="center"/>
                </w:tcPr>
                <w:p>
                  <w:pPr>
                    <w:rPr>
                      <w:bCs/>
                    </w:rPr>
                  </w:pPr>
                  <w:r>
                    <w:rPr>
                      <w:rFonts w:hint="eastAsia"/>
                      <w:bCs/>
                    </w:rPr>
                    <w:t>目标名称</w:t>
                  </w:r>
                </w:p>
              </w:tc>
              <w:tc>
                <w:tcPr>
                  <w:tcW w:w="2243" w:type="dxa"/>
                  <w:vAlign w:val="center"/>
                </w:tcPr>
                <w:p>
                  <w:pPr>
                    <w:rPr>
                      <w:bCs/>
                    </w:rPr>
                  </w:pPr>
                  <w:r>
                    <w:rPr>
                      <w:rFonts w:hint="eastAsia"/>
                      <w:bCs/>
                    </w:rPr>
                    <w:t>指标值</w:t>
                  </w:r>
                </w:p>
              </w:tc>
              <w:tc>
                <w:tcPr>
                  <w:tcW w:w="3118" w:type="dxa"/>
                  <w:vAlign w:val="center"/>
                </w:tcPr>
                <w:p>
                  <w:pPr>
                    <w:rPr>
                      <w:bCs/>
                    </w:rPr>
                  </w:pPr>
                  <w:r>
                    <w:rPr>
                      <w:rFonts w:hint="eastAsia"/>
                      <w:bCs/>
                    </w:rPr>
                    <w:t>统计方法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4" w:type="dxa"/>
                  <w:vAlign w:val="center"/>
                </w:tcPr>
                <w:p>
                  <w:r>
                    <w:t>1</w:t>
                  </w:r>
                </w:p>
              </w:tc>
              <w:tc>
                <w:tcPr>
                  <w:tcW w:w="2604" w:type="dxa"/>
                  <w:vAlign w:val="center"/>
                </w:tcPr>
                <w:p>
                  <w:r>
                    <w:rPr>
                      <w:rFonts w:hint="eastAsia"/>
                    </w:rPr>
                    <w:t>杜绝环境污染事故</w:t>
                  </w:r>
                </w:p>
              </w:tc>
              <w:tc>
                <w:tcPr>
                  <w:tcW w:w="2243" w:type="dxa"/>
                  <w:vAlign w:val="center"/>
                </w:tcPr>
                <w:p>
                  <w:r>
                    <w:rPr>
                      <w:rFonts w:hint="eastAsia"/>
                    </w:rPr>
                    <w:t>环境污染发生次数为</w:t>
                  </w:r>
                  <w:r>
                    <w:t>0</w:t>
                  </w:r>
                </w:p>
              </w:tc>
              <w:tc>
                <w:tcPr>
                  <w:tcW w:w="3118" w:type="dxa"/>
                  <w:vAlign w:val="center"/>
                </w:tcPr>
                <w:p>
                  <w:r>
                    <w:rPr>
                      <w:rFonts w:hint="eastAsia"/>
                    </w:rPr>
                    <w:t>统计环境污染事故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854" w:type="dxa"/>
                  <w:vAlign w:val="center"/>
                </w:tcPr>
                <w:p>
                  <w:r>
                    <w:t>2</w:t>
                  </w:r>
                </w:p>
              </w:tc>
              <w:tc>
                <w:tcPr>
                  <w:tcW w:w="2604" w:type="dxa"/>
                  <w:vAlign w:val="center"/>
                </w:tcPr>
                <w:p>
                  <w:r>
                    <w:rPr>
                      <w:rFonts w:hint="eastAsia"/>
                    </w:rPr>
                    <w:t>办公固废收集率1</w:t>
                  </w:r>
                  <w:r>
                    <w:t>00</w:t>
                  </w:r>
                  <w:r>
                    <w:rPr>
                      <w:rFonts w:hint="eastAsia"/>
                    </w:rPr>
                    <w:t>%</w:t>
                  </w:r>
                </w:p>
              </w:tc>
              <w:tc>
                <w:tcPr>
                  <w:tcW w:w="2243" w:type="dxa"/>
                  <w:vAlign w:val="center"/>
                </w:tcPr>
                <w:p>
                  <w:r>
                    <w:rPr>
                      <w:rFonts w:hint="eastAsia"/>
                    </w:rPr>
                    <w:t>固废违规丢弃为0</w:t>
                  </w:r>
                </w:p>
              </w:tc>
              <w:tc>
                <w:tcPr>
                  <w:tcW w:w="3118" w:type="dxa"/>
                  <w:vAlign w:val="center"/>
                </w:tcPr>
                <w:p>
                  <w:r>
                    <w:rPr>
                      <w:rFonts w:hint="eastAsia"/>
                    </w:rPr>
                    <w:t>统计违规丢弃固废次数</w:t>
                  </w:r>
                </w:p>
              </w:tc>
            </w:tr>
          </w:tbl>
          <w:p>
            <w:pPr>
              <w:rPr>
                <w:bCs/>
              </w:rPr>
            </w:pPr>
            <w:r>
              <w:rPr>
                <w:bCs/>
              </w:rPr>
              <w:t>2</w:t>
            </w:r>
            <w:r>
              <w:rPr>
                <w:rFonts w:hint="eastAsia"/>
                <w:bCs/>
              </w:rPr>
              <w:t>职业健康安全总目标指标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42"/>
              <w:gridCol w:w="2310"/>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851" w:type="dxa"/>
                  <w:vAlign w:val="center"/>
                </w:tcPr>
                <w:p>
                  <w:pPr>
                    <w:rPr>
                      <w:bCs/>
                    </w:rPr>
                  </w:pPr>
                  <w:r>
                    <w:rPr>
                      <w:rFonts w:hint="eastAsia"/>
                      <w:bCs/>
                    </w:rPr>
                    <w:t>序号</w:t>
                  </w:r>
                </w:p>
              </w:tc>
              <w:tc>
                <w:tcPr>
                  <w:tcW w:w="2542" w:type="dxa"/>
                  <w:vAlign w:val="center"/>
                </w:tcPr>
                <w:p>
                  <w:pPr>
                    <w:rPr>
                      <w:bCs/>
                    </w:rPr>
                  </w:pPr>
                  <w:r>
                    <w:rPr>
                      <w:rFonts w:hint="eastAsia"/>
                      <w:bCs/>
                    </w:rPr>
                    <w:t>目标名称</w:t>
                  </w:r>
                </w:p>
              </w:tc>
              <w:tc>
                <w:tcPr>
                  <w:tcW w:w="2310" w:type="dxa"/>
                  <w:vAlign w:val="center"/>
                </w:tcPr>
                <w:p>
                  <w:pPr>
                    <w:rPr>
                      <w:bCs/>
                    </w:rPr>
                  </w:pPr>
                  <w:r>
                    <w:rPr>
                      <w:bCs/>
                    </w:rPr>
                    <w:t xml:space="preserve"> </w:t>
                  </w:r>
                  <w:r>
                    <w:rPr>
                      <w:rFonts w:hint="eastAsia"/>
                      <w:bCs/>
                    </w:rPr>
                    <w:t>指标值</w:t>
                  </w:r>
                </w:p>
              </w:tc>
              <w:tc>
                <w:tcPr>
                  <w:tcW w:w="3017" w:type="dxa"/>
                  <w:vAlign w:val="center"/>
                </w:tcPr>
                <w:p>
                  <w:pPr>
                    <w:rPr>
                      <w:bCs/>
                    </w:rPr>
                  </w:pPr>
                  <w:r>
                    <w:rPr>
                      <w:rFonts w:hint="eastAsia"/>
                      <w:bCs/>
                    </w:rPr>
                    <w:t>统计方法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 w:type="dxa"/>
                  <w:vAlign w:val="center"/>
                </w:tcPr>
                <w:p>
                  <w:r>
                    <w:t>1</w:t>
                  </w:r>
                </w:p>
              </w:tc>
              <w:tc>
                <w:tcPr>
                  <w:tcW w:w="2542" w:type="dxa"/>
                  <w:vAlign w:val="center"/>
                </w:tcPr>
                <w:p>
                  <w:r>
                    <w:rPr>
                      <w:rFonts w:hint="eastAsia"/>
                    </w:rPr>
                    <w:t>火灾事故为0</w:t>
                  </w:r>
                </w:p>
              </w:tc>
              <w:tc>
                <w:tcPr>
                  <w:tcW w:w="2310" w:type="dxa"/>
                  <w:vAlign w:val="center"/>
                </w:tcPr>
                <w:p>
                  <w:r>
                    <w:rPr>
                      <w:rFonts w:hint="eastAsia"/>
                    </w:rPr>
                    <w:t>火灾事故为0</w:t>
                  </w:r>
                </w:p>
              </w:tc>
              <w:tc>
                <w:tcPr>
                  <w:tcW w:w="3017" w:type="dxa"/>
                  <w:vAlign w:val="center"/>
                </w:tcPr>
                <w:p>
                  <w:r>
                    <w:rPr>
                      <w:rFonts w:hint="eastAsia"/>
                    </w:rPr>
                    <w:t>核对统计结果及事件处理报告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 w:type="dxa"/>
                  <w:vAlign w:val="center"/>
                </w:tcPr>
                <w:p>
                  <w:r>
                    <w:rPr>
                      <w:rFonts w:hint="eastAsia"/>
                    </w:rPr>
                    <w:t>2</w:t>
                  </w:r>
                </w:p>
              </w:tc>
              <w:tc>
                <w:tcPr>
                  <w:tcW w:w="2542" w:type="dxa"/>
                  <w:vAlign w:val="center"/>
                </w:tcPr>
                <w:p>
                  <w:r>
                    <w:rPr>
                      <w:rFonts w:hint="eastAsia"/>
                    </w:rPr>
                    <w:t>意外伤害救治率</w:t>
                  </w:r>
                </w:p>
              </w:tc>
              <w:tc>
                <w:tcPr>
                  <w:tcW w:w="2310" w:type="dxa"/>
                  <w:vAlign w:val="center"/>
                </w:tcPr>
                <w:p>
                  <w:r>
                    <w:rPr>
                      <w:rFonts w:hint="eastAsia"/>
                    </w:rPr>
                    <w:t>意外伤害救治率1</w:t>
                  </w:r>
                  <w:r>
                    <w:t>00</w:t>
                  </w:r>
                  <w:r>
                    <w:rPr>
                      <w:rFonts w:hint="eastAsia"/>
                    </w:rPr>
                    <w:t>%</w:t>
                  </w:r>
                </w:p>
              </w:tc>
              <w:tc>
                <w:tcPr>
                  <w:tcW w:w="3017" w:type="dxa"/>
                  <w:vAlign w:val="center"/>
                </w:tcPr>
                <w:p>
                  <w:r>
                    <w:rPr>
                      <w:rFonts w:hint="eastAsia"/>
                    </w:rPr>
                    <w:t>核对统计结果及事件处理报告</w:t>
                  </w:r>
                </w:p>
              </w:tc>
            </w:tr>
          </w:tbl>
          <w:p>
            <w:pPr>
              <w:rPr>
                <w:rFonts w:hint="eastAsia"/>
                <w:color w:val="auto"/>
              </w:rPr>
            </w:pPr>
            <w:r>
              <w:rPr>
                <w:rFonts w:hint="eastAsia"/>
              </w:rPr>
              <w:t>每季度组织一次对目标、指标管理方案进行程度、完成情况的考核，提供安全目标、指标考核记录，2020年</w:t>
            </w:r>
            <w:r>
              <w:t>7</w:t>
            </w:r>
            <w:r>
              <w:rPr>
                <w:rFonts w:hint="eastAsia"/>
              </w:rPr>
              <w:t>月-</w:t>
            </w:r>
            <w:r>
              <w:rPr>
                <w:rFonts w:hint="eastAsia"/>
                <w:lang w:val="en-US" w:eastAsia="zh-CN"/>
              </w:rPr>
              <w:t>2021.2</w:t>
            </w:r>
            <w:r>
              <w:rPr>
                <w:rFonts w:hint="eastAsia"/>
              </w:rPr>
              <w:t>月的目标、指标管理方案完成情况考核，达到了阶段性的目标要求。制定的指标和管理方案基本可行。</w:t>
            </w:r>
            <w:r>
              <w:rPr>
                <w:rFonts w:hint="eastAsia"/>
                <w:color w:val="auto"/>
              </w:rPr>
              <w:t>。</w:t>
            </w:r>
          </w:p>
          <w:p>
            <w:pPr>
              <w:ind w:firstLine="420" w:firstLineChars="200"/>
              <w:rPr>
                <w:rFonts w:hint="eastAsia"/>
                <w:szCs w:val="22"/>
                <w:lang w:val="en-US" w:eastAsia="zh-CN"/>
              </w:rPr>
            </w:pP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对可回收废弃物、危险废弃物分类管理，并集中收集和处理，完成了部门该项环境目标和指标。</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eastAsia"/>
                <w:b w:val="0"/>
                <w:bCs w:val="0"/>
                <w:sz w:val="21"/>
                <w:szCs w:val="21"/>
                <w:lang w:val="en-US" w:eastAsia="zh-CN"/>
              </w:rPr>
            </w:pPr>
            <w:r>
              <w:rPr>
                <w:rFonts w:hint="eastAsia"/>
                <w:b w:val="0"/>
                <w:bCs w:val="0"/>
                <w:sz w:val="21"/>
                <w:szCs w:val="21"/>
              </w:rPr>
              <w:t>c. 淘汰过期、报废设备,对灭火器更新；每年进行一次消防演习。执行部门：各部门，检查人：</w:t>
            </w:r>
            <w:r>
              <w:rPr>
                <w:rFonts w:hint="eastAsia" w:ascii="宋体" w:hAnsi="宋体" w:cs="宋体"/>
                <w:kern w:val="0"/>
                <w:sz w:val="24"/>
                <w:szCs w:val="24"/>
              </w:rPr>
              <w:t>史龙会</w:t>
            </w:r>
            <w:r>
              <w:rPr>
                <w:rFonts w:hint="eastAsia"/>
                <w:sz w:val="24"/>
                <w:szCs w:val="24"/>
              </w:rPr>
              <w:t xml:space="preserve"> </w:t>
            </w:r>
            <w:r>
              <w:rPr>
                <w:rFonts w:hint="eastAsia"/>
                <w:b w:val="0"/>
                <w:bCs w:val="0"/>
                <w:sz w:val="21"/>
                <w:szCs w:val="21"/>
              </w:rPr>
              <w:t>，资金投入</w:t>
            </w:r>
            <w:r>
              <w:rPr>
                <w:rFonts w:hint="eastAsia"/>
                <w:b w:val="0"/>
                <w:bCs w:val="0"/>
                <w:sz w:val="21"/>
                <w:szCs w:val="21"/>
                <w:lang w:val="en-US" w:eastAsia="zh-CN"/>
              </w:rPr>
              <w:t>5000</w:t>
            </w:r>
            <w:r>
              <w:rPr>
                <w:rFonts w:hint="eastAsia"/>
                <w:b w:val="0"/>
                <w:bCs w:val="0"/>
                <w:sz w:val="21"/>
                <w:szCs w:val="21"/>
              </w:rPr>
              <w:t>元，</w:t>
            </w:r>
            <w:r>
              <w:rPr>
                <w:rFonts w:hint="eastAsia"/>
                <w:b w:val="0"/>
                <w:bCs w:val="0"/>
                <w:sz w:val="21"/>
                <w:szCs w:val="21"/>
                <w:lang w:eastAsia="zh-CN"/>
              </w:rPr>
              <w:t>责任</w:t>
            </w:r>
            <w:r>
              <w:rPr>
                <w:rFonts w:hint="eastAsia"/>
                <w:b w:val="0"/>
                <w:bCs w:val="0"/>
                <w:sz w:val="21"/>
                <w:szCs w:val="21"/>
              </w:rPr>
              <w:t>人：</w:t>
            </w:r>
            <w:r>
              <w:rPr>
                <w:rFonts w:hint="eastAsia"/>
              </w:rPr>
              <w:t>丁路路</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ind w:firstLine="420" w:firstLineChars="200"/>
              <w:rPr>
                <w:rFonts w:hint="eastAsia"/>
                <w:b w:val="0"/>
                <w:bCs w:val="0"/>
                <w:sz w:val="21"/>
                <w:szCs w:val="21"/>
              </w:rPr>
            </w:pPr>
            <w:r>
              <w:rPr>
                <w:rFonts w:hint="eastAsia"/>
                <w:b w:val="0"/>
                <w:bCs w:val="0"/>
                <w:sz w:val="21"/>
                <w:szCs w:val="21"/>
              </w:rPr>
              <w:t>资金预算费</w:t>
            </w:r>
            <w:r>
              <w:rPr>
                <w:rFonts w:hint="eastAsia"/>
                <w:b w:val="0"/>
                <w:bCs w:val="0"/>
                <w:sz w:val="21"/>
                <w:szCs w:val="21"/>
                <w:lang w:val="en-US" w:eastAsia="zh-CN"/>
              </w:rPr>
              <w:t>1万</w:t>
            </w:r>
            <w:r>
              <w:rPr>
                <w:rFonts w:hint="eastAsia"/>
                <w:b w:val="0"/>
                <w:bCs w:val="0"/>
                <w:sz w:val="21"/>
                <w:szCs w:val="21"/>
              </w:rPr>
              <w:t>元，执行部门：各部门，</w:t>
            </w:r>
            <w:r>
              <w:rPr>
                <w:rFonts w:hint="eastAsia"/>
                <w:b w:val="0"/>
                <w:bCs w:val="0"/>
                <w:sz w:val="21"/>
                <w:szCs w:val="21"/>
                <w:lang w:eastAsia="zh-CN"/>
              </w:rPr>
              <w:t>责任</w:t>
            </w:r>
            <w:r>
              <w:rPr>
                <w:rFonts w:hint="eastAsia"/>
                <w:b w:val="0"/>
                <w:bCs w:val="0"/>
                <w:sz w:val="21"/>
                <w:szCs w:val="21"/>
              </w:rPr>
              <w:t>人：</w:t>
            </w:r>
            <w:r>
              <w:rPr>
                <w:rFonts w:hint="eastAsia" w:ascii="宋体" w:hAnsi="宋体"/>
                <w:szCs w:val="21"/>
              </w:rPr>
              <w:t>郭洪</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上述目标、指标</w:t>
            </w:r>
            <w:r>
              <w:rPr>
                <w:rFonts w:hint="eastAsia"/>
                <w:b w:val="0"/>
                <w:bCs w:val="0"/>
                <w:sz w:val="21"/>
                <w:szCs w:val="21"/>
                <w:lang w:eastAsia="zh-CN"/>
              </w:rPr>
              <w:t>2020</w:t>
            </w:r>
            <w:r>
              <w:rPr>
                <w:rFonts w:hint="eastAsia"/>
                <w:b w:val="0"/>
                <w:bCs w:val="0"/>
                <w:sz w:val="21"/>
                <w:szCs w:val="21"/>
              </w:rPr>
              <w:t>年</w:t>
            </w:r>
            <w:r>
              <w:rPr>
                <w:rFonts w:hint="eastAsia"/>
                <w:b w:val="0"/>
                <w:bCs w:val="0"/>
                <w:sz w:val="21"/>
                <w:szCs w:val="21"/>
                <w:lang w:val="en-US" w:eastAsia="zh-CN"/>
              </w:rPr>
              <w:t>7月-2021年2月</w:t>
            </w:r>
            <w:r>
              <w:rPr>
                <w:rFonts w:hint="eastAsia"/>
                <w:b w:val="0"/>
                <w:bCs w:val="0"/>
                <w:sz w:val="21"/>
                <w:szCs w:val="21"/>
              </w:rPr>
              <w:t>度进行考核，考核结果：全部达标，考核人：</w:t>
            </w:r>
            <w:r>
              <w:rPr>
                <w:rFonts w:hint="eastAsia" w:ascii="宋体" w:hAnsi="宋体" w:cs="宋体"/>
                <w:kern w:val="0"/>
                <w:sz w:val="24"/>
                <w:szCs w:val="24"/>
              </w:rPr>
              <w:t>史龙会</w:t>
            </w:r>
            <w:r>
              <w:rPr>
                <w:rFonts w:hint="eastAsia"/>
                <w:sz w:val="24"/>
                <w:szCs w:val="24"/>
              </w:rPr>
              <w:t xml:space="preserve"> </w:t>
            </w:r>
            <w:r>
              <w:rPr>
                <w:rFonts w:hint="eastAsia"/>
                <w:b w:val="0"/>
                <w:bCs w:val="0"/>
                <w:sz w:val="21"/>
                <w:szCs w:val="21"/>
              </w:rPr>
              <w:t>。</w:t>
            </w:r>
          </w:p>
          <w:p>
            <w:pPr>
              <w:rPr>
                <w:b w:val="0"/>
                <w:bCs w:val="0"/>
              </w:rPr>
            </w:pPr>
            <w:r>
              <w:rPr>
                <w:rFonts w:hint="eastAsia"/>
                <w:b w:val="0"/>
                <w:bCs w:val="0"/>
                <w:sz w:val="21"/>
                <w:szCs w:val="21"/>
              </w:rPr>
              <w:t>制定的指标和管理方案基本可行。</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S</w:t>
            </w:r>
            <w:r>
              <w:rPr>
                <w:rFonts w:hint="eastAsia"/>
                <w:b w:val="0"/>
                <w:bCs w:val="0"/>
                <w:sz w:val="21"/>
                <w:szCs w:val="21"/>
              </w:rPr>
              <w:t>6.1.2</w:t>
            </w:r>
          </w:p>
          <w:p>
            <w:pPr>
              <w:rPr>
                <w:b w:val="0"/>
                <w:bCs w:val="0"/>
              </w:rPr>
            </w:pPr>
          </w:p>
        </w:tc>
        <w:tc>
          <w:tcPr>
            <w:tcW w:w="10004" w:type="dxa"/>
            <w:vAlign w:val="center"/>
          </w:tcPr>
          <w:p>
            <w:r>
              <w:rPr>
                <w:rFonts w:hint="eastAsia"/>
              </w:rPr>
              <w:t>制了《环境因素识别与评价控制程序》、《危险源辨识别和控制程序》，符合标准要求。</w:t>
            </w:r>
          </w:p>
          <w:p>
            <w:r>
              <w:rPr>
                <w:rFonts w:hint="eastAsia"/>
              </w:rPr>
              <w:t>提供了《环境因素调查评价清单》，涉及生产部、销售部的有</w:t>
            </w:r>
          </w:p>
          <w:p>
            <w:r>
              <w:rPr>
                <w:rFonts w:hint="eastAsia"/>
              </w:rPr>
              <w:t>办公区及职能部门：水消耗；电消耗；纸张、笔、墨盒等消耗；电话、传真、网络等通讯设备的消耗；电器火灾；空调、电脑运行；电脑运行；空调冷却液的泄漏；电池废弃；生活垃圾废弃；打印机墨盒废弃；复印机硒鼓废弃；日光灯管废弃；办纸张、笔等公固废废弃；办公楼洗手间生活废水排放。</w:t>
            </w:r>
          </w:p>
          <w:p>
            <w:r>
              <w:rPr>
                <w:rFonts w:hint="eastAsia"/>
              </w:rPr>
              <w:t>生产现场：生产过程中的粉尘；焊接过程中的少许废气；生产车间噪声用完或用剩余的粘胶瓶、废包装物、加工边角料。</w:t>
            </w:r>
          </w:p>
          <w:p>
            <w:r>
              <w:rPr>
                <w:rFonts w:hint="eastAsia"/>
              </w:rPr>
              <w:t>设备维护：废零件的废弃。</w:t>
            </w:r>
          </w:p>
          <w:p>
            <w:r>
              <w:rPr>
                <w:rFonts w:hint="eastAsia"/>
              </w:rPr>
              <w:t>查看《重要环境因素清单》：本企业为组装加工，在市环保局有备案，总重要环境因素为用完或用剩余的粘胶瓶。</w:t>
            </w:r>
          </w:p>
          <w:p>
            <w:r>
              <w:rPr>
                <w:rFonts w:hint="eastAsia"/>
              </w:rPr>
              <w:t>提供了《危险源清单》，危险源为：少许的点焊废气、触电、搬卸物品的意外伤害。</w:t>
            </w:r>
          </w:p>
          <w:p>
            <w:r>
              <w:rPr>
                <w:rFonts w:hint="eastAsia"/>
              </w:rPr>
              <w:t>公司通过LEC评价法对危险源进行风险评价，提供有《职业健康危险源和风险评价表》。</w:t>
            </w:r>
          </w:p>
          <w:p>
            <w:pPr>
              <w:rPr>
                <w:b w:val="0"/>
                <w:bCs w:val="0"/>
              </w:rPr>
            </w:pPr>
            <w:r>
              <w:rPr>
                <w:rFonts w:hint="eastAsia"/>
              </w:rPr>
              <w:t>查看《公司不可接受风险清单》，不可接受风险为：触电、火灾事故发生。</w:t>
            </w: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S</w:t>
            </w:r>
            <w:r>
              <w:rPr>
                <w:rFonts w:ascii="Times New Roman" w:hAnsi="Times New Roman" w:eastAsia="宋体" w:cs="Lucida Sans"/>
                <w:b w:val="0"/>
                <w:bCs w:val="0"/>
                <w:color w:val="auto"/>
                <w:szCs w:val="20"/>
              </w:rPr>
              <w:t>8.1</w:t>
            </w:r>
          </w:p>
          <w:p>
            <w:pPr>
              <w:rPr>
                <w:b w:val="0"/>
                <w:bCs w:val="0"/>
              </w:rPr>
            </w:pPr>
          </w:p>
        </w:tc>
        <w:tc>
          <w:tcPr>
            <w:tcW w:w="10004" w:type="dxa"/>
            <w:vAlign w:val="center"/>
          </w:tcPr>
          <w:p>
            <w:r>
              <w:rPr>
                <w:rFonts w:hint="eastAsia"/>
              </w:rPr>
              <w:t>本部门应执行的运行控制文件包括：环境运行控制程序，固体废弃物管理规定、对相关方施加影响管理规定、节能降耗管理规定、消防安全管理制度、综合部安全管理制度、</w:t>
            </w:r>
            <w:r>
              <w:rPr>
                <w:rFonts w:hint="eastAsia"/>
                <w:lang w:val="en-GB"/>
              </w:rPr>
              <w:t>车辆管理规定、电脑使用管理办法</w:t>
            </w:r>
            <w:r>
              <w:rPr>
                <w:rFonts w:hint="eastAsia"/>
              </w:rPr>
              <w:t>等。</w:t>
            </w:r>
          </w:p>
          <w:p>
            <w:r>
              <w:rPr>
                <w:rFonts w:hint="eastAsia"/>
              </w:rPr>
              <w:t>查运行控制情况：</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 xml:space="preserve">办公过程产生的固废按综合部要求放到指定地点，现场无混放现象；办公用品按要求由综合部负责发放，作好记录； </w:t>
            </w:r>
          </w:p>
          <w:p>
            <w:r>
              <w:rPr>
                <w:rFonts w:hint="eastAsia"/>
              </w:rPr>
              <w:t>生活污水用于绿化、洒水降尘；</w:t>
            </w:r>
          </w:p>
          <w:p>
            <w:r>
              <w:rPr>
                <w:rFonts w:hint="eastAsia"/>
              </w:rPr>
              <w:t>普通固废排放：生活办公垃圾按照小区规定放置指定区域。</w:t>
            </w:r>
          </w:p>
          <w:p>
            <w:pPr>
              <w:pStyle w:val="2"/>
              <w:rPr>
                <w:rFonts w:hint="default" w:ascii="宋体" w:hAnsi="宋体" w:eastAsia="宋体" w:cs="宋体"/>
                <w:color w:val="auto"/>
                <w:kern w:val="0"/>
                <w:szCs w:val="21"/>
                <w:lang w:val="en-US" w:eastAsia="zh-CN"/>
              </w:rPr>
            </w:pPr>
            <w:r>
              <w:rPr>
                <w:rFonts w:hint="eastAsia"/>
                <w:b w:val="0"/>
                <w:bCs w:val="0"/>
                <w:sz w:val="21"/>
                <w:szCs w:val="21"/>
              </w:rPr>
              <w:t xml:space="preserve"> </w:t>
            </w:r>
            <w:r>
              <w:rPr>
                <w:b w:val="0"/>
                <w:bCs w:val="0"/>
                <w:sz w:val="21"/>
                <w:szCs w:val="21"/>
              </w:rPr>
              <w:t xml:space="preserve"> </w:t>
            </w:r>
            <w:r>
              <w:rPr>
                <w:rFonts w:hint="eastAsia"/>
                <w:b w:val="0"/>
                <w:bCs w:val="0"/>
                <w:sz w:val="21"/>
                <w:szCs w:val="21"/>
                <w:lang w:val="en-US" w:eastAsia="zh-CN"/>
              </w:rPr>
              <w:t>查现场运行情况</w:t>
            </w:r>
          </w:p>
          <w:p>
            <w:pPr>
              <w:pStyle w:val="2"/>
              <w:rPr>
                <w:rFonts w:hint="eastAsia" w:ascii="宋体" w:hAnsi="宋体" w:cs="宋体"/>
                <w:color w:val="auto"/>
                <w:kern w:val="0"/>
                <w:szCs w:val="21"/>
                <w:lang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能资源管理：公司规定人走灯灭，人走关水等节能节水措施，并互相监督</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2.火灾事故预防：公司配备有灭火器等消防设施，有应急预案，相关人员经过培训。</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3.触电：公司专人负责对电箱进行检查和维保，电气线路防护，措施到位，但个别地方存在安全隐患。</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提供人员社保缴费证明</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4.公司制定了安全生产责任书，制定了安全目标考核制定，责任书均有人员签字</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5.提供员工体检：检验报告，见附件</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体检结果：健康，无职业病等相关疾病</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6.提供员工个人防护清单</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发放劳保用品：车间：手套 10付 领用人：</w:t>
            </w:r>
            <w:r>
              <w:rPr>
                <w:rFonts w:hint="eastAsia"/>
                <w:lang w:eastAsia="zh-CN"/>
              </w:rPr>
              <w:t>周路</w:t>
            </w:r>
            <w:r>
              <w:rPr>
                <w:rFonts w:hint="eastAsia" w:ascii="宋体" w:hAnsi="宋体" w:cs="宋体"/>
                <w:color w:val="auto"/>
                <w:kern w:val="0"/>
                <w:szCs w:val="21"/>
                <w:lang w:val="en-US" w:eastAsia="zh-CN"/>
              </w:rPr>
              <w:t xml:space="preserve"> 2020.7.16</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车间： 口罩 8个领用人：</w:t>
            </w:r>
            <w:r>
              <w:rPr>
                <w:rFonts w:hint="eastAsia"/>
                <w:lang w:eastAsia="zh-CN"/>
              </w:rPr>
              <w:t>周路</w:t>
            </w:r>
            <w:r>
              <w:rPr>
                <w:rFonts w:hint="eastAsia" w:ascii="宋体" w:hAnsi="宋体" w:cs="宋体"/>
                <w:color w:val="auto"/>
                <w:kern w:val="0"/>
                <w:szCs w:val="21"/>
                <w:lang w:val="en-US" w:eastAsia="zh-CN"/>
              </w:rPr>
              <w:t xml:space="preserve"> 2020.12.20</w:t>
            </w:r>
          </w:p>
          <w:p>
            <w:pPr>
              <w:ind w:firstLine="210" w:firstLineChars="100"/>
              <w:rPr>
                <w:rFonts w:asciiTheme="minorEastAsia" w:hAnsiTheme="minorEastAsia" w:eastAsiaTheme="minorEastAsia"/>
                <w:color w:val="auto"/>
                <w:szCs w:val="21"/>
              </w:rPr>
            </w:pPr>
            <w:r>
              <w:rPr>
                <w:rFonts w:hint="eastAsia" w:ascii="宋体" w:hAnsi="宋体" w:cs="宋体"/>
                <w:color w:val="auto"/>
                <w:kern w:val="0"/>
                <w:szCs w:val="21"/>
                <w:lang w:val="en-US" w:eastAsia="zh-CN"/>
              </w:rPr>
              <w:t>7.</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8.</w:t>
            </w:r>
            <w:r>
              <w:rPr>
                <w:rFonts w:hint="eastAsia" w:cs="Times New Roman" w:asciiTheme="minorEastAsia" w:hAnsiTheme="minorEastAsia" w:eastAsiaTheme="minorEastAsia"/>
                <w:bCs w:val="0"/>
                <w:color w:val="auto"/>
                <w:spacing w:val="0"/>
                <w:kern w:val="2"/>
                <w:sz w:val="21"/>
                <w:szCs w:val="21"/>
                <w:lang w:val="en-GB" w:eastAsia="zh-CN" w:bidi="ar-SA"/>
              </w:rPr>
              <w:t>查看</w:t>
            </w:r>
            <w:r>
              <w:rPr>
                <w:rFonts w:hint="eastAsia" w:cs="Times New Roman" w:asciiTheme="minorEastAsia" w:hAnsiTheme="minorEastAsia" w:eastAsiaTheme="minorEastAsia"/>
                <w:bCs w:val="0"/>
                <w:color w:val="auto"/>
                <w:spacing w:val="0"/>
                <w:kern w:val="2"/>
                <w:sz w:val="21"/>
                <w:szCs w:val="21"/>
                <w:lang w:val="en-US" w:eastAsia="zh-CN" w:bidi="ar-SA"/>
              </w:rPr>
              <w:t>办公</w:t>
            </w:r>
            <w:r>
              <w:rPr>
                <w:rFonts w:hint="eastAsia" w:cs="Times New Roman" w:asciiTheme="minorEastAsia" w:hAnsiTheme="minorEastAsia" w:eastAsiaTheme="minorEastAsia"/>
                <w:bCs w:val="0"/>
                <w:color w:val="auto"/>
                <w:spacing w:val="0"/>
                <w:kern w:val="2"/>
                <w:sz w:val="21"/>
                <w:szCs w:val="21"/>
                <w:lang w:val="en-GB" w:eastAsia="zh-CN" w:bidi="ar-SA"/>
              </w:rPr>
              <w:t>区域，整洁、光线充足、室内空气良好、设备安全状态良好，教育员工正确使用办公设备，现场用电基本规范，无乱拉线现象，防止火灾发生。</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9.</w:t>
            </w:r>
            <w:r>
              <w:rPr>
                <w:rFonts w:hint="eastAsia" w:cs="Times New Roman" w:asciiTheme="minorEastAsia" w:hAnsiTheme="minorEastAsia" w:eastAsiaTheme="minorEastAsia"/>
                <w:bCs w:val="0"/>
                <w:color w:val="auto"/>
                <w:spacing w:val="0"/>
                <w:kern w:val="2"/>
                <w:sz w:val="21"/>
                <w:szCs w:val="21"/>
                <w:lang w:val="en-GB" w:eastAsia="zh-CN" w:bidi="ar-SA"/>
              </w:rPr>
              <w:t>相关方施加影响：公司能够控制或能够施加影响的相关方有顾客等。提供了“致相关方的公开信”，将公司的环境/安全控制要求发放到了所有相关方</w:t>
            </w:r>
            <w:r>
              <w:rPr>
                <w:rFonts w:hint="eastAsia" w:cs="Times New Roman" w:asciiTheme="minorEastAsia" w:hAnsiTheme="minorEastAsia" w:eastAsiaTheme="minorEastAsia"/>
                <w:bCs w:val="0"/>
                <w:color w:val="auto"/>
                <w:spacing w:val="0"/>
                <w:kern w:val="2"/>
                <w:sz w:val="21"/>
                <w:szCs w:val="21"/>
                <w:lang w:val="en-US" w:eastAsia="zh-CN" w:bidi="ar-SA"/>
              </w:rPr>
              <w:t>:</w:t>
            </w:r>
            <w:r>
              <w:rPr>
                <w:rFonts w:hint="eastAsia" w:cs="Times New Roman" w:asciiTheme="minorEastAsia" w:hAnsiTheme="minorEastAsia" w:eastAsiaTheme="minorEastAsia"/>
                <w:bCs w:val="0"/>
                <w:color w:val="auto"/>
                <w:spacing w:val="0"/>
                <w:kern w:val="2"/>
                <w:sz w:val="21"/>
                <w:szCs w:val="21"/>
                <w:lang w:val="en-GB" w:eastAsia="zh-CN" w:bidi="ar-SA"/>
              </w:rPr>
              <w:t>运输公司</w:t>
            </w:r>
            <w:r>
              <w:rPr>
                <w:rFonts w:hint="eastAsia" w:cs="Times New Roman" w:asciiTheme="minorEastAsia" w:hAnsiTheme="minorEastAsia" w:eastAsiaTheme="minorEastAsia"/>
                <w:bCs w:val="0"/>
                <w:color w:val="auto"/>
                <w:spacing w:val="0"/>
                <w:kern w:val="2"/>
                <w:sz w:val="21"/>
                <w:szCs w:val="21"/>
                <w:lang w:val="en-US" w:eastAsia="zh-CN" w:bidi="ar-SA"/>
              </w:rPr>
              <w:t>\供应商\</w:t>
            </w:r>
            <w:r>
              <w:rPr>
                <w:rFonts w:hint="eastAsia" w:cs="Times New Roman" w:asciiTheme="minorEastAsia" w:hAnsiTheme="minorEastAsia" w:eastAsiaTheme="minorEastAsia"/>
                <w:bCs w:val="0"/>
                <w:color w:val="auto"/>
                <w:spacing w:val="0"/>
                <w:kern w:val="2"/>
                <w:sz w:val="21"/>
                <w:szCs w:val="21"/>
                <w:lang w:val="en-GB" w:eastAsia="zh-CN" w:bidi="ar-SA"/>
              </w:rPr>
              <w:t>外来员工等， 组织对进入场所内的供方送货员、求职及培训人员视情况由安保人员或受访人提醒、签定安全协议等方式，告知相关遵守相应的运行准则，以防止外来人员受到人身伤害或职业健康安危害</w:t>
            </w:r>
          </w:p>
          <w:p>
            <w:pPr>
              <w:pStyle w:val="2"/>
              <w:rPr>
                <w:rFonts w:hint="eastAsia" w:cs="Times New Roman" w:asciiTheme="minorEastAsia" w:hAnsiTheme="minorEastAsia" w:eastAsiaTheme="minorEastAsia"/>
                <w:bCs w:val="0"/>
                <w:color w:val="auto"/>
                <w:spacing w:val="0"/>
                <w:kern w:val="2"/>
                <w:sz w:val="21"/>
                <w:szCs w:val="21"/>
                <w:lang w:val="en-US"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10、新冠疫情期间，组织</w:t>
            </w:r>
            <w:r>
              <w:rPr>
                <w:rFonts w:hint="eastAsia" w:cs="Times New Roman" w:asciiTheme="minorEastAsia" w:hAnsiTheme="minorEastAsia" w:eastAsiaTheme="minorEastAsia"/>
                <w:bCs w:val="0"/>
                <w:color w:val="auto"/>
                <w:spacing w:val="0"/>
                <w:kern w:val="2"/>
                <w:sz w:val="21"/>
                <w:szCs w:val="21"/>
                <w:lang w:val="en-GB" w:eastAsia="zh-CN" w:bidi="ar-SA"/>
              </w:rPr>
              <w:t>策划了《</w:t>
            </w:r>
            <w:r>
              <w:rPr>
                <w:rFonts w:hint="eastAsia" w:cs="Times New Roman" w:asciiTheme="minorEastAsia" w:hAnsiTheme="minorEastAsia" w:eastAsiaTheme="minorEastAsia"/>
                <w:bCs w:val="0"/>
                <w:color w:val="auto"/>
                <w:spacing w:val="0"/>
                <w:kern w:val="2"/>
                <w:sz w:val="21"/>
                <w:szCs w:val="21"/>
                <w:lang w:val="en-US" w:eastAsia="zh-CN" w:bidi="ar-SA"/>
              </w:rPr>
              <w:t>疫情防控应急工作预案》，对疫情期间的疫情防控物资的发放、人员的管控、每日的人员体温检测、环境的消毒等进行了策划</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 xml:space="preserve">S </w:t>
            </w:r>
            <w:r>
              <w:rPr>
                <w:rFonts w:ascii="Times New Roman" w:hAnsi="Times New Roman" w:eastAsia="宋体" w:cs="Lucida Sans"/>
                <w:b w:val="0"/>
                <w:bCs w:val="0"/>
                <w:szCs w:val="20"/>
              </w:rPr>
              <w:t>8.2</w:t>
            </w:r>
          </w:p>
          <w:p>
            <w:pPr>
              <w:rPr>
                <w:b w:val="0"/>
                <w:bCs w:val="0"/>
              </w:rPr>
            </w:pPr>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参加公司统一组织的应急演练活动，具体详见综合部ES</w:t>
            </w:r>
            <w:bookmarkStart w:id="0" w:name="_GoBack"/>
            <w:bookmarkEnd w:id="0"/>
            <w:r>
              <w:rPr>
                <w:rFonts w:hint="eastAsia" w:cs="Lucida Sans"/>
                <w:b w:val="0"/>
                <w:bCs w:val="0"/>
                <w:szCs w:val="20"/>
                <w:lang w:val="en-US" w:eastAsia="zh-CN"/>
              </w:rPr>
              <w:t>8.2审核记录</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bl>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6FC641A"/>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48209C"/>
    <w:rsid w:val="26790CA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A22525"/>
    <w:rsid w:val="4BCD6209"/>
    <w:rsid w:val="4DCB6A41"/>
    <w:rsid w:val="4EA95B28"/>
    <w:rsid w:val="4ED74FA1"/>
    <w:rsid w:val="51107B5F"/>
    <w:rsid w:val="51152F83"/>
    <w:rsid w:val="51562946"/>
    <w:rsid w:val="528C1234"/>
    <w:rsid w:val="53E33F86"/>
    <w:rsid w:val="5513591F"/>
    <w:rsid w:val="55B4200A"/>
    <w:rsid w:val="55D3314C"/>
    <w:rsid w:val="58455CA1"/>
    <w:rsid w:val="59D15B05"/>
    <w:rsid w:val="5A076719"/>
    <w:rsid w:val="5EA12B9A"/>
    <w:rsid w:val="5F4C6EF3"/>
    <w:rsid w:val="5FAF1CEF"/>
    <w:rsid w:val="616A3A39"/>
    <w:rsid w:val="62CC6143"/>
    <w:rsid w:val="62D77D40"/>
    <w:rsid w:val="63A828F7"/>
    <w:rsid w:val="63C255F7"/>
    <w:rsid w:val="644843F8"/>
    <w:rsid w:val="64687842"/>
    <w:rsid w:val="646E474A"/>
    <w:rsid w:val="64711015"/>
    <w:rsid w:val="66956685"/>
    <w:rsid w:val="67D077E9"/>
    <w:rsid w:val="6A006F03"/>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D036D97"/>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link w:val="17"/>
    <w:qFormat/>
    <w:uiPriority w:val="0"/>
    <w:rPr>
      <w:rFonts w:ascii="宋体" w:hAnsi="Courier New"/>
      <w:szCs w:val="21"/>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1</TotalTime>
  <ScaleCrop>false</ScaleCrop>
  <LinksUpToDate>false</LinksUpToDate>
  <CharactersWithSpaces>10398</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2021-04-04T02:32:14Z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7177B32D612740F081AE4A9F73E0EE12</vt:lpwstr>
  </property>
</Properties>
</file>