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tab w:relativeTo="margin" w:alignment="center" w:leader="none"/>
      </w:r>
    </w:p>
    <w:p>
      <w:pPr>
        <w:pStyle w:val="7"/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pStyle w:val="7"/>
      </w:pPr>
    </w:p>
    <w:p>
      <w:pPr>
        <w:pStyle w:val="7"/>
      </w:pP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涉及</w:t>
            </w:r>
          </w:p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受审核部门：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生产部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主管领导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</w:rPr>
              <w:t xml:space="preserve">陈俊奇 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陪同人员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史龙会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审核员：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李京田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陈俊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审核时间：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2021.4.4</w:t>
            </w:r>
          </w:p>
        </w:tc>
        <w:tc>
          <w:tcPr>
            <w:tcW w:w="1585" w:type="dxa"/>
            <w:vMerge w:val="continue"/>
          </w:tcPr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审核条款：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E</w:t>
            </w: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:5.3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6.1/</w:t>
            </w:r>
            <w:r>
              <w:rPr>
                <w:rFonts w:hint="eastAsia" w:ascii="宋体" w:hAnsi="宋体"/>
                <w:sz w:val="18"/>
              </w:rPr>
              <w:t>6.2/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7.1/</w:t>
            </w:r>
            <w:r>
              <w:rPr>
                <w:rFonts w:ascii="宋体" w:hAnsi="宋体"/>
                <w:sz w:val="18"/>
              </w:rPr>
              <w:t>8.1/8.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</w:p>
          <w:p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 w:ascii="Times New Roman" w:hAnsi="Times New Roman" w:eastAsia="宋体" w:cs="Lucida Sans"/>
                <w:b w:val="0"/>
                <w:bCs w:val="0"/>
                <w:szCs w:val="20"/>
              </w:rPr>
              <w:t>职责和权限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E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S</w:t>
            </w:r>
            <w:r>
              <w:rPr>
                <w:rFonts w:hint="eastAsia"/>
                <w:b w:val="0"/>
                <w:bCs w:val="0"/>
                <w:szCs w:val="21"/>
              </w:rPr>
              <w:t>5.3</w:t>
            </w:r>
          </w:p>
          <w:p>
            <w:pPr>
              <w:rPr>
                <w:b w:val="0"/>
                <w:bCs w:val="0"/>
              </w:rPr>
            </w:pPr>
          </w:p>
        </w:tc>
        <w:tc>
          <w:tcPr>
            <w:tcW w:w="10004" w:type="dxa"/>
          </w:tcPr>
          <w:p>
            <w:r>
              <w:rPr>
                <w:rFonts w:hint="eastAsia"/>
              </w:rPr>
              <w:t>生产部的职责为：</w:t>
            </w:r>
            <w:r>
              <w:t>a)</w:t>
            </w:r>
            <w:r>
              <w:rPr>
                <w:rFonts w:hint="eastAsia"/>
              </w:rPr>
              <w:t>负责公司生产合同的生产</w:t>
            </w:r>
          </w:p>
          <w:p>
            <w:r>
              <w:rPr>
                <w:rFonts w:hint="eastAsia"/>
              </w:rPr>
              <w:t>b</w:t>
            </w:r>
            <w:r>
              <w:t>)</w:t>
            </w:r>
            <w:r>
              <w:rPr>
                <w:rFonts w:hint="eastAsia"/>
              </w:rPr>
              <w:t>负责公司生产现场管理及设备维护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t>)</w:t>
            </w:r>
            <w:r>
              <w:rPr>
                <w:rFonts w:hint="eastAsia"/>
              </w:rPr>
              <w:t>负责汽车用油量传感器、中控锁、翘班开关的组装前的准备工作</w:t>
            </w:r>
          </w:p>
          <w:p>
            <w:r>
              <w:rPr>
                <w:rFonts w:hint="eastAsia"/>
              </w:rPr>
              <w:t>d</w:t>
            </w:r>
            <w:r>
              <w:t>)</w:t>
            </w:r>
            <w:r>
              <w:rPr>
                <w:rFonts w:hint="eastAsia"/>
              </w:rPr>
              <w:t>负责产品的检验</w:t>
            </w:r>
          </w:p>
          <w:p>
            <w:r>
              <w:rPr>
                <w:rFonts w:hint="eastAsia"/>
              </w:rPr>
              <w:t>e）负责人员工作岗位督查与评价</w:t>
            </w:r>
          </w:p>
          <w:p>
            <w:r>
              <w:rPr>
                <w:rFonts w:hint="eastAsia"/>
              </w:rPr>
              <w:t>f）负责生产部环境因素的识别和控制</w:t>
            </w:r>
          </w:p>
          <w:p>
            <w:pPr>
              <w:pStyle w:val="2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</w:rPr>
              <w:t>询问部门负责人，职责明确。</w:t>
            </w:r>
          </w:p>
        </w:tc>
        <w:tc>
          <w:tcPr>
            <w:tcW w:w="1585" w:type="dxa"/>
          </w:tcPr>
          <w:p>
            <w:pPr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 w:ascii="Times New Roman" w:hAnsi="Times New Roman" w:eastAsia="宋体" w:cs="Lucida Sans"/>
                <w:b w:val="0"/>
                <w:bCs w:val="0"/>
                <w:szCs w:val="20"/>
              </w:rPr>
              <w:t>目标分解及考核，目标指标及管理方案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Times New Roman" w:hAnsi="Times New Roman" w:eastAsia="宋体" w:cs="Lucida Sans"/>
                <w:b w:val="0"/>
                <w:bCs w:val="0"/>
                <w:szCs w:val="20"/>
              </w:rPr>
            </w:pPr>
          </w:p>
          <w:p>
            <w:pPr>
              <w:rPr>
                <w:rFonts w:ascii="Times New Roman" w:hAnsi="Times New Roman" w:eastAsia="宋体" w:cs="Lucida Sans"/>
                <w:b w:val="0"/>
                <w:bCs w:val="0"/>
                <w:szCs w:val="20"/>
              </w:rPr>
            </w:pPr>
            <w:r>
              <w:rPr>
                <w:rFonts w:ascii="Times New Roman" w:hAnsi="Times New Roman" w:eastAsia="宋体" w:cs="Lucida Sans"/>
                <w:b w:val="0"/>
                <w:bCs w:val="0"/>
                <w:szCs w:val="20"/>
              </w:rPr>
              <w:t>E</w:t>
            </w:r>
            <w:r>
              <w:rPr>
                <w:rFonts w:hint="eastAsia" w:cs="Lucida Sans"/>
                <w:b w:val="0"/>
                <w:bCs w:val="0"/>
                <w:szCs w:val="20"/>
                <w:lang w:val="en-US" w:eastAsia="zh-CN"/>
              </w:rPr>
              <w:t>S</w:t>
            </w:r>
            <w:r>
              <w:rPr>
                <w:rFonts w:ascii="Times New Roman" w:hAnsi="Times New Roman" w:eastAsia="宋体" w:cs="Lucida Sans"/>
                <w:b w:val="0"/>
                <w:bCs w:val="0"/>
                <w:szCs w:val="20"/>
              </w:rPr>
              <w:t>6.2</w:t>
            </w:r>
          </w:p>
          <w:p>
            <w:pPr>
              <w:rPr>
                <w:b w:val="0"/>
                <w:bCs w:val="0"/>
              </w:rPr>
            </w:pPr>
          </w:p>
        </w:tc>
        <w:tc>
          <w:tcPr>
            <w:tcW w:w="10004" w:type="dxa"/>
          </w:tcPr>
          <w:p>
            <w:pPr>
              <w:rPr>
                <w:rFonts w:ascii="Times New Roman" w:hAnsi="Times New Roman" w:eastAsia="宋体" w:cs="Lucida Sans"/>
                <w:b w:val="0"/>
                <w:bCs w:val="0"/>
                <w:szCs w:val="20"/>
              </w:rPr>
            </w:pPr>
            <w:r>
              <w:rPr>
                <w:rFonts w:hint="eastAsia" w:ascii="Times New Roman" w:hAnsi="Times New Roman" w:eastAsia="宋体" w:cs="Lucida Sans"/>
                <w:b w:val="0"/>
                <w:bCs w:val="0"/>
                <w:szCs w:val="20"/>
              </w:rPr>
              <w:t>部门分解的质量目标：</w:t>
            </w:r>
            <w:r>
              <w:rPr>
                <w:rFonts w:hint="eastAsia" w:ascii="Times New Roman" w:hAnsi="Times New Roman" w:eastAsia="宋体" w:cs="Lucida Sans"/>
                <w:b w:val="0"/>
                <w:bCs w:val="0"/>
                <w:color w:val="FF0000"/>
                <w:szCs w:val="20"/>
              </w:rPr>
              <w:t xml:space="preserve"> </w:t>
            </w:r>
            <w:r>
              <w:rPr>
                <w:rFonts w:hint="eastAsia" w:cs="Lucida Sans"/>
                <w:b w:val="0"/>
                <w:bCs w:val="0"/>
                <w:color w:val="FF0000"/>
                <w:szCs w:val="20"/>
                <w:lang w:val="en-US" w:eastAsia="zh-CN"/>
              </w:rPr>
              <w:t xml:space="preserve">     </w:t>
            </w:r>
          </w:p>
          <w:p>
            <w:pPr>
              <w:ind w:firstLine="420" w:firstLine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杜绝环境污染事故</w:t>
            </w:r>
          </w:p>
          <w:p>
            <w:pPr>
              <w:ind w:firstLine="420" w:firstLine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办公固废收集率100%</w:t>
            </w:r>
          </w:p>
          <w:p>
            <w:pPr>
              <w:ind w:firstLine="420" w:firstLine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火灾事故为0</w:t>
            </w:r>
          </w:p>
          <w:p>
            <w:pPr>
              <w:ind w:firstLine="420" w:firstLine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意外伤害救治率</w:t>
            </w: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提供2020年7月-2021.2月考核统计，目标均完成，目标适宜。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对可回收废弃物、危险废弃物分类管理，并集中收集和处理，完成了部门该项环境目标和指标。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对以上的目标指标制定了管理方案：</w:t>
            </w:r>
          </w:p>
          <w:p>
            <w:pPr>
              <w:ind w:left="210" w:leftChars="100" w:firstLine="210" w:firstLineChars="100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环境体系建立了管理方案，查管理方案表，共</w:t>
            </w: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项： 1、办公用硒鼓、墨盒等固废；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办公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废弃物等分类收集保管，交由相应部门处置；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2、杜绝火灾发生，制定了管理方案:</w:t>
            </w:r>
            <w:r>
              <w:rPr>
                <w:rFonts w:hint="eastAsia"/>
                <w:b w:val="0"/>
                <w:bCs w:val="0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制定3项管理方案：.制定相应的管理制度并严格执行，配备必要的防火设施（包括灭火器</w:t>
            </w: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>a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、消防栓等）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并保证其完好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b. 成立应急响应工作小组（见《应急预案》）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c. 淘汰过期、报废设备,对灭火器更新；每年进行一次消防演习。执行部门：各部门，检查人：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史龙会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，资金投入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5000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元，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责任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史龙会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，，执行日期：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长期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3、电线老化引发火灾、临时接电触电,管理方案：a、电线检修               b、对职工进行安全教育培训。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资金预算费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1万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元，执行部门：各部门，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责任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史龙会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，执行日期：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长期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上述目标、指标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2020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7月-2021年2月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度进行考核，考核结果：全部达标，考核人：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史龙会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。</w:t>
            </w:r>
          </w:p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制定的指标和管理方案基本可行。</w:t>
            </w:r>
          </w:p>
        </w:tc>
        <w:tc>
          <w:tcPr>
            <w:tcW w:w="1585" w:type="dxa"/>
          </w:tcPr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360" w:lineRule="exact"/>
              <w:rPr>
                <w:rFonts w:ascii="Times New Roman" w:hAnsi="Times New Roman" w:eastAsia="宋体" w:cs="Lucida Sans"/>
                <w:b/>
                <w:szCs w:val="20"/>
              </w:rPr>
            </w:pPr>
            <w:r>
              <w:rPr>
                <w:rFonts w:hint="eastAsia" w:ascii="Times New Roman" w:hAnsi="Times New Roman" w:eastAsia="宋体" w:cs="Lucida Sans"/>
                <w:b/>
                <w:szCs w:val="20"/>
              </w:rPr>
              <w:t>应对风险和机遇的措施</w:t>
            </w:r>
          </w:p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rPr>
                <w:rFonts w:ascii="Times New Roman" w:hAnsi="Times New Roman" w:eastAsia="宋体" w:cs="Lucida Sans"/>
                <w:b/>
                <w:szCs w:val="20"/>
              </w:rPr>
            </w:pPr>
            <w:r>
              <w:rPr>
                <w:rFonts w:hint="eastAsia" w:ascii="Times New Roman" w:hAnsi="Times New Roman" w:eastAsia="宋体" w:cs="Lucida Sans"/>
                <w:b/>
                <w:szCs w:val="20"/>
              </w:rPr>
              <w:t>E</w:t>
            </w:r>
            <w:r>
              <w:rPr>
                <w:rFonts w:hint="eastAsia" w:cs="Lucida Sans"/>
                <w:b/>
                <w:szCs w:val="20"/>
                <w:lang w:val="en-US" w:eastAsia="zh-CN"/>
              </w:rPr>
              <w:t>S</w:t>
            </w:r>
            <w:r>
              <w:rPr>
                <w:rFonts w:hint="eastAsia" w:ascii="Times New Roman" w:hAnsi="Times New Roman" w:eastAsia="宋体" w:cs="Lucida Sans"/>
                <w:b/>
                <w:szCs w:val="20"/>
              </w:rPr>
              <w:t>6.1.1</w:t>
            </w:r>
          </w:p>
          <w:p>
            <w:pPr>
              <w:rPr>
                <w:rFonts w:ascii="Times New Roman" w:hAnsi="Times New Roman" w:eastAsia="宋体" w:cs="Lucida Sans"/>
                <w:b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Times New Roman" w:hAnsi="Times New Roman" w:eastAsia="宋体" w:cs="Lucida Sans"/>
                <w:b w:val="0"/>
                <w:bCs/>
                <w:szCs w:val="20"/>
              </w:rPr>
            </w:pP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 w:ascii="Times New Roman" w:hAnsi="Times New Roman" w:eastAsia="宋体" w:cs="Lucida Sans"/>
                <w:b w:val="0"/>
                <w:bCs/>
                <w:szCs w:val="20"/>
              </w:rPr>
              <w:t>用</w:t>
            </w:r>
            <w:r>
              <w:rPr>
                <w:rFonts w:hint="eastAsia"/>
              </w:rPr>
              <w:t>1.外部因素主要有：a)社会和文化、政治、法律、监管、金融、技术、经济、自然环境和竞争环境；b)影响公司管理目标的主要驱动和趋势；c)与外部利益相关者的价值观的关系。如国家政策、标准、法律法规及其他要求的变动等；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</w:rPr>
              <w:t>2.内部因素包括：a)组织机构，角色和责任；b)政策、目标、实现目标的战略；c)能力、资源和知识（资本、时间、人、能力、流程、系统和技术等）；d)内部利益相关者的价值观与组织文化之间的关系；e)信息系统、信息流和决策流程；f)合同关系的形成和范围。</w:t>
            </w:r>
          </w:p>
          <w:p>
            <w:r>
              <w:rPr>
                <w:rFonts w:hint="eastAsia"/>
              </w:rPr>
              <w:t>3.</w:t>
            </w:r>
            <w:r>
              <w:t>在进行体系策划时，公司领导层考虑该公司所处的内外环境和问题，以及相关方的要求，识别和确定该公司</w:t>
            </w:r>
            <w:r>
              <w:rPr>
                <w:rFonts w:hint="eastAsia"/>
              </w:rPr>
              <w:t>资质范围内工程设计；工程项目管理</w:t>
            </w:r>
            <w:r>
              <w:t>中存在的影响</w:t>
            </w:r>
            <w:r>
              <w:rPr>
                <w:rFonts w:hint="eastAsia"/>
                <w:lang w:val="en-US" w:eastAsia="zh-CN"/>
              </w:rPr>
              <w:t>设计</w:t>
            </w:r>
            <w:r>
              <w:t>和服务质量的风险和机遇、通过环境因素和危险源识别及评价，合规义务的收集和评价，确定公司内外环境中存在的问题和合规义务的要求，识别公司存在的环境风险和机遇。确保公司的质量、环境管理体系能够实现其预期结果，预防或减少不期望的影响，包括外部环境状况对公司的潜在影响，实现持续改进。</w:t>
            </w:r>
          </w:p>
          <w:p>
            <w:pPr>
              <w:rPr>
                <w:color w:val="auto"/>
              </w:rPr>
            </w:pPr>
            <w:r>
              <w:t>公司存</w:t>
            </w:r>
            <w:r>
              <w:rPr>
                <w:color w:val="auto"/>
              </w:rPr>
              <w:t>在的风险和机遇主要有：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a）</w:t>
            </w:r>
            <w:r>
              <w:rPr>
                <w:rFonts w:hint="eastAsia" w:ascii="宋体" w:hAnsi="宋体"/>
                <w:szCs w:val="21"/>
              </w:rPr>
              <w:t>汽车用油量传感器、中控锁、翘班开关的组装</w:t>
            </w:r>
            <w:r>
              <w:rPr>
                <w:rFonts w:hint="eastAsia"/>
                <w:color w:val="auto"/>
              </w:rPr>
              <w:t>；</w:t>
            </w:r>
            <w:r>
              <w:rPr>
                <w:color w:val="auto"/>
              </w:rPr>
              <w:t>由于人员的专业知识不足，质量不合格。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b）</w:t>
            </w:r>
            <w:r>
              <w:rPr>
                <w:rFonts w:hint="eastAsia" w:ascii="宋体" w:hAnsi="宋体"/>
                <w:szCs w:val="21"/>
              </w:rPr>
              <w:t>汽车用油量传感器、中控锁、翘班开关的组装</w:t>
            </w:r>
            <w:r>
              <w:rPr>
                <w:sz w:val="20"/>
              </w:rPr>
              <w:t>务</w:t>
            </w:r>
            <w:r>
              <w:rPr>
                <w:rFonts w:hint="eastAsia"/>
                <w:color w:val="auto"/>
              </w:rPr>
              <w:t>；</w:t>
            </w:r>
            <w:r>
              <w:rPr>
                <w:color w:val="auto"/>
              </w:rPr>
              <w:t>由于人员的环境保护、安全意识不够，造成意外环境污染和工伤事故。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c）</w:t>
            </w:r>
            <w:r>
              <w:rPr>
                <w:rFonts w:hint="eastAsia" w:ascii="宋体" w:hAnsi="宋体"/>
                <w:szCs w:val="21"/>
              </w:rPr>
              <w:t>汽车用油量传感器、中控锁、翘班开关的组装</w:t>
            </w:r>
            <w:r>
              <w:rPr>
                <w:rFonts w:hint="eastAsia"/>
                <w:color w:val="auto"/>
              </w:rPr>
              <w:t>；</w:t>
            </w:r>
            <w:r>
              <w:rPr>
                <w:color w:val="auto"/>
              </w:rPr>
              <w:t>由于设备故障，造成人员</w:t>
            </w:r>
            <w:r>
              <w:rPr>
                <w:rFonts w:hint="eastAsia"/>
                <w:color w:val="auto"/>
                <w:lang w:val="en-US" w:eastAsia="zh-CN"/>
              </w:rPr>
              <w:t>意外</w:t>
            </w:r>
            <w:r>
              <w:rPr>
                <w:color w:val="auto"/>
              </w:rPr>
              <w:t>伤害、触电事故。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d</w:t>
            </w:r>
            <w:r>
              <w:rPr>
                <w:rFonts w:hint="eastAsia" w:ascii="宋体" w:hAnsi="宋体"/>
                <w:szCs w:val="21"/>
              </w:rPr>
              <w:t>汽车用油量传感器、中控锁、翘班开关的组装</w:t>
            </w:r>
            <w:r>
              <w:rPr>
                <w:rFonts w:hint="eastAsia"/>
                <w:color w:val="auto"/>
              </w:rPr>
              <w:t>；</w:t>
            </w:r>
            <w:r>
              <w:rPr>
                <w:color w:val="auto"/>
              </w:rPr>
              <w:t>由于作业指导书、安全作业规程不足，使得</w:t>
            </w:r>
            <w:r>
              <w:rPr>
                <w:rFonts w:hint="eastAsia"/>
                <w:color w:val="auto"/>
                <w:lang w:val="en-US" w:eastAsia="zh-CN"/>
              </w:rPr>
              <w:t>服务</w:t>
            </w:r>
            <w:r>
              <w:rPr>
                <w:color w:val="auto"/>
              </w:rPr>
              <w:t>质量不合格和人员安全事件的发生。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e</w:t>
            </w:r>
            <w:r>
              <w:rPr>
                <w:color w:val="auto"/>
              </w:rPr>
              <w:t>）违反相关的法律法规，影响公司的社会形象，遵守法规提高公司的社会形象。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f</w:t>
            </w:r>
            <w:r>
              <w:rPr>
                <w:color w:val="auto"/>
              </w:rPr>
              <w:t>）公司潜在紧急情况，如火灾、触电、车辆伤害、物体打击等。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g</w:t>
            </w:r>
            <w:r>
              <w:rPr>
                <w:rFonts w:hint="eastAsia"/>
                <w:color w:val="auto"/>
              </w:rPr>
              <w:t>）</w:t>
            </w:r>
            <w:r>
              <w:rPr>
                <w:color w:val="auto"/>
              </w:rPr>
              <w:t>经营方面的风险如PPP、资金运行等</w:t>
            </w:r>
          </w:p>
          <w:p>
            <w:pPr>
              <w:ind w:firstLine="420" w:firstLineChars="200"/>
            </w:pPr>
            <w:r>
              <w:t>应对这些风险编制了《管理手册》</w:t>
            </w:r>
            <w:r>
              <w:rPr>
                <w:rFonts w:hint="eastAsia"/>
              </w:rPr>
              <w:t>、</w:t>
            </w:r>
            <w:r>
              <w:t>《程序文件》及《管理制度》。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提供有《环境安全运行管理制度》，内容包括环境因素、危险源的识别、评价、汇总；重要环境因素和不可接受风险的控制。</w:t>
            </w:r>
          </w:p>
          <w:p>
            <w:pPr>
              <w:rPr>
                <w:rFonts w:hint="default" w:ascii="Times New Roman" w:hAnsi="Times New Roman" w:eastAsia="宋体" w:cs="Lucida Sans"/>
                <w:b w:val="0"/>
                <w:bCs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公司对识别的重要环境因素及不可接受风险，对其进行监控</w:t>
            </w:r>
            <w:r>
              <w:rPr>
                <w:rFonts w:hint="eastAsia"/>
              </w:rPr>
              <w:t>并贯穿其整个生命周期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</w:tcPr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环境因素、危险源识别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E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6.1.2</w:t>
            </w:r>
          </w:p>
          <w:p>
            <w:pPr>
              <w:rPr>
                <w:b w:val="0"/>
                <w:bCs w:val="0"/>
              </w:rPr>
            </w:pPr>
          </w:p>
        </w:tc>
        <w:tc>
          <w:tcPr>
            <w:tcW w:w="10004" w:type="dxa"/>
            <w:vAlign w:val="center"/>
          </w:tcPr>
          <w:p>
            <w:r>
              <w:rPr>
                <w:rFonts w:hint="eastAsia"/>
                <w:lang w:val="en-US" w:eastAsia="zh-CN"/>
              </w:rPr>
              <w:t>编</w:t>
            </w:r>
            <w:r>
              <w:rPr>
                <w:rFonts w:hint="eastAsia"/>
              </w:rPr>
              <w:t>制了《环境因素识别与评价控制程序》、《危险源辨识别和控制程序》，符合标准要求。</w:t>
            </w:r>
          </w:p>
          <w:p>
            <w:r>
              <w:rPr>
                <w:rFonts w:hint="eastAsia"/>
              </w:rPr>
              <w:t>提供了《环境因素调查评价清单》，涉及生产部、销售部的有</w:t>
            </w:r>
          </w:p>
          <w:p>
            <w:r>
              <w:rPr>
                <w:rFonts w:hint="eastAsia"/>
              </w:rPr>
              <w:t>办公区及职能部门：水消耗；电消耗；纸张、笔、墨盒等消耗；电话、传真、网络等通讯设备的消耗；电器火灾；空调、电脑运行；电脑运行；空调冷却液的泄漏；电池废弃；生活垃圾废弃；打印机墨盒废弃；复印机硒鼓废弃；日光灯管废弃；办纸张、笔等公固废废弃；办公楼洗手间生活废水排放。</w:t>
            </w:r>
          </w:p>
          <w:p>
            <w:r>
              <w:rPr>
                <w:rFonts w:hint="eastAsia"/>
              </w:rPr>
              <w:t>生产现场：生产过程中的粉尘；焊接过程中的少许废气；生产车间噪声用完或用剩余的粘胶瓶、废包装物、加工边角料。</w:t>
            </w:r>
          </w:p>
          <w:p>
            <w:r>
              <w:rPr>
                <w:rFonts w:hint="eastAsia"/>
              </w:rPr>
              <w:t>设备维护：废零件的废弃。</w:t>
            </w:r>
          </w:p>
          <w:p>
            <w:r>
              <w:rPr>
                <w:rFonts w:hint="eastAsia"/>
              </w:rPr>
              <w:t>查看《重要环境因素清单》：本企业为组装加工，在市环保局有备案，总重要环境因素为用完或用剩余的粘胶瓶。</w:t>
            </w:r>
          </w:p>
          <w:p>
            <w:r>
              <w:rPr>
                <w:rFonts w:hint="eastAsia"/>
              </w:rPr>
              <w:t>提供了《危险源清单》，危险源为：少许的点焊废气、触电、搬卸物品的意外伤害。</w:t>
            </w:r>
          </w:p>
          <w:p>
            <w:r>
              <w:rPr>
                <w:rFonts w:hint="eastAsia"/>
              </w:rPr>
              <w:t>公司通过LEC评价法对危险源进行风险评价，提供有《职业健康危险源和风险评价表》。</w:t>
            </w:r>
          </w:p>
          <w:p>
            <w:pPr>
              <w:rPr>
                <w:b w:val="0"/>
                <w:bCs w:val="0"/>
              </w:rPr>
            </w:pPr>
            <w:r>
              <w:rPr>
                <w:rFonts w:hint="eastAsia"/>
              </w:rPr>
              <w:t>查看《公司不可接受风险清单》，不可接受风险为：触电、火灾事故发生。</w:t>
            </w:r>
          </w:p>
        </w:tc>
        <w:tc>
          <w:tcPr>
            <w:tcW w:w="1585" w:type="dxa"/>
          </w:tcPr>
          <w:p>
            <w:pPr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ascii="Times New Roman" w:hAnsi="Times New Roman" w:eastAsia="宋体" w:cs="Lucida Sans"/>
                <w:b w:val="0"/>
                <w:bCs w:val="0"/>
                <w:szCs w:val="20"/>
              </w:rPr>
              <w:t>环境运行控制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Times New Roman" w:hAnsi="Times New Roman" w:eastAsia="宋体" w:cs="Lucida Sans"/>
                <w:b w:val="0"/>
                <w:bCs w:val="0"/>
                <w:color w:val="auto"/>
                <w:szCs w:val="20"/>
              </w:rPr>
            </w:pPr>
            <w:r>
              <w:rPr>
                <w:rFonts w:hint="eastAsia" w:ascii="Times New Roman" w:hAnsi="Times New Roman" w:eastAsia="宋体" w:cs="Lucida Sans"/>
                <w:b w:val="0"/>
                <w:bCs w:val="0"/>
                <w:color w:val="auto"/>
                <w:szCs w:val="20"/>
              </w:rPr>
              <w:t>E</w:t>
            </w:r>
            <w:r>
              <w:rPr>
                <w:rFonts w:hint="eastAsia" w:cs="Lucida Sans"/>
                <w:b w:val="0"/>
                <w:bCs w:val="0"/>
                <w:color w:val="auto"/>
                <w:szCs w:val="20"/>
                <w:lang w:val="en-US" w:eastAsia="zh-CN"/>
              </w:rPr>
              <w:t>S</w:t>
            </w:r>
            <w:r>
              <w:rPr>
                <w:rFonts w:ascii="Times New Roman" w:hAnsi="Times New Roman" w:eastAsia="宋体" w:cs="Lucida Sans"/>
                <w:b w:val="0"/>
                <w:bCs w:val="0"/>
                <w:color w:val="auto"/>
                <w:szCs w:val="20"/>
              </w:rPr>
              <w:t>8.1</w:t>
            </w:r>
          </w:p>
          <w:p>
            <w:pPr>
              <w:rPr>
                <w:b w:val="0"/>
                <w:bCs w:val="0"/>
              </w:rPr>
            </w:pPr>
          </w:p>
        </w:tc>
        <w:tc>
          <w:tcPr>
            <w:tcW w:w="10004" w:type="dxa"/>
            <w:vAlign w:val="center"/>
          </w:tcPr>
          <w:p>
            <w:r>
              <w:rPr>
                <w:rFonts w:hint="eastAsia"/>
              </w:rPr>
              <w:t>部门应执行的运行控制文件包括：环境运行控制程序，固体废弃物管理规定、对相关方施加影响管理规定、节能降耗管理规定、消防安全管理制度、综合部安全管理制度、</w:t>
            </w:r>
            <w:r>
              <w:rPr>
                <w:rFonts w:hint="eastAsia"/>
                <w:lang w:val="en-GB"/>
              </w:rPr>
              <w:t>车辆管理规定、电脑使用管理办法</w:t>
            </w:r>
            <w:r>
              <w:rPr>
                <w:rFonts w:hint="eastAsia"/>
              </w:rPr>
              <w:t>等。</w:t>
            </w:r>
          </w:p>
          <w:p>
            <w:r>
              <w:rPr>
                <w:rFonts w:hint="eastAsia"/>
              </w:rPr>
              <w:t>查运行控制情况：</w:t>
            </w:r>
          </w:p>
          <w:p>
            <w:r>
              <w:rPr>
                <w:rFonts w:hint="eastAsia"/>
              </w:rPr>
              <w:t>火灾：现场配备了消防栓、灭火器，经查均在有效压力范围内。</w:t>
            </w:r>
          </w:p>
          <w:p>
            <w:r>
              <w:rPr>
                <w:rFonts w:hint="eastAsia"/>
              </w:rPr>
              <w:t>每月对消防器材进行一次全面检查--提供消防器材检查记录</w:t>
            </w:r>
          </w:p>
          <w:p>
            <w:r>
              <w:rPr>
                <w:rFonts w:hint="eastAsia"/>
              </w:rPr>
              <w:t>触电：办公区均使用安全电器，灯具离地距离符合要求，每季度一次检查线路、灯具、电器等的安全性能，经常对员工进行安全用电知识宣贯，确保安全用电，无触电事故发生。</w:t>
            </w:r>
          </w:p>
          <w:p>
            <w:r>
              <w:rPr>
                <w:rFonts w:hint="eastAsia"/>
              </w:rPr>
              <w:t>汽车尾气：使用高标号燃油降低汽车尾气有害气体的排放，定期对车辆进行检定，避免事故、尾气达标排放等。</w:t>
            </w:r>
          </w:p>
          <w:p>
            <w:r>
              <w:rPr>
                <w:rFonts w:hint="eastAsia"/>
              </w:rPr>
              <w:t>办公过程注意节约用电，做到人走灯灭，电脑长时间不用时关机，下班前要关闭电源；</w:t>
            </w:r>
          </w:p>
          <w:p>
            <w:r>
              <w:rPr>
                <w:rFonts w:hint="eastAsia"/>
              </w:rPr>
              <w:t xml:space="preserve">办公过程产生的固废按综合部要求放到指定地点，现场无混放现象；办公用品按要求由综合部负责发放，作好记录； </w:t>
            </w:r>
          </w:p>
          <w:p>
            <w:r>
              <w:rPr>
                <w:rFonts w:hint="eastAsia"/>
              </w:rPr>
              <w:t>生活污水用于绿化、洒水降尘；</w:t>
            </w:r>
          </w:p>
          <w:p>
            <w:r>
              <w:rPr>
                <w:rFonts w:hint="eastAsia"/>
              </w:rPr>
              <w:t>普通固废排放：生活办公垃圾按照小区规定放置指定区域。</w:t>
            </w:r>
          </w:p>
          <w:p>
            <w:pPr>
              <w:pStyle w:val="2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查现场运行情况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能资源管理：公司规定人走灯灭，人走关水等节能节水措施，并互相监督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2.火灾事故预防：公司配备有灭火器等消防设施，有应急预案，相关人员经过培训。</w:t>
            </w:r>
          </w:p>
          <w:p>
            <w:pPr>
              <w:pStyle w:val="2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3.触电：公司专人负责对电箱进行检查和维保，电气线路防护，措施到位，但个别地方存在安全隐患。</w:t>
            </w:r>
          </w:p>
          <w:p>
            <w:pPr>
              <w:pStyle w:val="2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提供人员社保缴费证明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4.公司制定了安全生产责任书，制定了安全目标考核制定，责任书均有人员签字</w:t>
            </w:r>
          </w:p>
          <w:p>
            <w:pPr>
              <w:pStyle w:val="2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5.提供员工体检：检验报告，见附件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体检结果：健康，无职业病等相关疾病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6.提供员工个人防护清单</w:t>
            </w:r>
          </w:p>
          <w:p>
            <w:pPr>
              <w:pStyle w:val="2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发放劳保用品：车间：手套 10付 领用人：</w:t>
            </w:r>
            <w:r>
              <w:rPr>
                <w:rFonts w:hint="eastAsia"/>
                <w:lang w:eastAsia="zh-CN"/>
              </w:rPr>
              <w:t>周路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2020.7.16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         车间： 口罩 8个领用人：</w:t>
            </w:r>
            <w:r>
              <w:rPr>
                <w:rFonts w:hint="eastAsia"/>
                <w:lang w:eastAsia="zh-CN"/>
              </w:rPr>
              <w:t>周路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2020.12.20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7.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意外伤害控制</w:t>
            </w:r>
          </w:p>
          <w:p>
            <w:pPr>
              <w:rPr>
                <w:rFonts w:hint="eastAsia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 xml:space="preserve">   驾驶员要求按管理制度进行驾驶汽车，不超速、不开斗气车、不酒后驾车等，每月进行安全培训；定期对汽车进行安全检查，对查出的问题和隐患，及时进行整改解决，确保安全。</w:t>
            </w:r>
          </w:p>
          <w:p>
            <w:pPr>
              <w:pStyle w:val="2"/>
              <w:rPr>
                <w:rFonts w:hint="eastAsia" w:cs="Times New Roman" w:asciiTheme="minorEastAsia" w:hAnsiTheme="minorEastAsia" w:eastAsia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eastAsia" w:cs="Times New Roman" w:asciiTheme="minorEastAsia" w:hAnsiTheme="minorEastAsia" w:eastAsia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GB" w:eastAsia="zh-CN" w:bidi="ar-SA"/>
              </w:rPr>
              <w:t>查看</w:t>
            </w:r>
            <w:r>
              <w:rPr>
                <w:rFonts w:hint="eastAsia" w:cs="Times New Roman" w:asciiTheme="minorEastAsia" w:hAnsiTheme="minorEastAsia" w:eastAsia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办公</w:t>
            </w:r>
            <w:r>
              <w:rPr>
                <w:rFonts w:hint="eastAsia" w:cs="Times New Roman" w:asciiTheme="minorEastAsia" w:hAnsiTheme="minorEastAsia" w:eastAsia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GB" w:eastAsia="zh-CN" w:bidi="ar-SA"/>
              </w:rPr>
              <w:t>区域，整洁、光线充足、室内空气良好、设备安全状态良好，教育员工正确使用办公设备，现场用电基本规范，无乱拉线现象，防止火灾发生。</w:t>
            </w:r>
          </w:p>
          <w:p>
            <w:pPr>
              <w:pStyle w:val="2"/>
              <w:rPr>
                <w:rFonts w:hint="eastAsia" w:cs="Times New Roman" w:asciiTheme="minorEastAsia" w:hAnsiTheme="minorEastAsia" w:eastAsia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9.</w:t>
            </w:r>
            <w:r>
              <w:rPr>
                <w:rFonts w:hint="eastAsia" w:cs="Times New Roman" w:asciiTheme="minorEastAsia" w:hAnsiTheme="minorEastAsia" w:eastAsia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GB" w:eastAsia="zh-CN" w:bidi="ar-SA"/>
              </w:rPr>
              <w:t>相关方施加影响：公司能够控制或能够施加影响的相关方有顾客等。提供了“致相关方的公开信”，将公司的环境/安全控制要求发放到了所有相关方</w:t>
            </w:r>
            <w:r>
              <w:rPr>
                <w:rFonts w:hint="eastAsia" w:cs="Times New Roman" w:asciiTheme="minorEastAsia" w:hAnsiTheme="minorEastAsia" w:eastAsia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cs="Times New Roman" w:asciiTheme="minorEastAsia" w:hAnsiTheme="minorEastAsia" w:eastAsia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GB" w:eastAsia="zh-CN" w:bidi="ar-SA"/>
              </w:rPr>
              <w:t>运输公司</w:t>
            </w:r>
            <w:r>
              <w:rPr>
                <w:rFonts w:hint="eastAsia" w:cs="Times New Roman" w:asciiTheme="minorEastAsia" w:hAnsiTheme="minorEastAsia" w:eastAsia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\供应商\</w:t>
            </w:r>
            <w:r>
              <w:rPr>
                <w:rFonts w:hint="eastAsia" w:cs="Times New Roman" w:asciiTheme="minorEastAsia" w:hAnsiTheme="minorEastAsia" w:eastAsia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GB" w:eastAsia="zh-CN" w:bidi="ar-SA"/>
              </w:rPr>
              <w:t>外来员工等， 组织对进入场所内的供方送货员、求职及培训人员视情况由安保人员或受访人提醒、签定安全协议等方式，告知相关遵守相应的运行准则，以防止外来人员受到人身伤害或职业健康安危害</w:t>
            </w:r>
          </w:p>
          <w:p>
            <w:pPr>
              <w:pStyle w:val="2"/>
              <w:rPr>
                <w:rFonts w:hint="eastAsia" w:cs="Times New Roman" w:asciiTheme="minorEastAsia" w:hAnsiTheme="minorEastAsia" w:eastAsia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10、新冠疫情期间，组织</w:t>
            </w:r>
            <w:r>
              <w:rPr>
                <w:rFonts w:hint="eastAsia" w:cs="Times New Roman" w:asciiTheme="minorEastAsia" w:hAnsiTheme="minorEastAsia" w:eastAsia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GB" w:eastAsia="zh-CN" w:bidi="ar-SA"/>
              </w:rPr>
              <w:t>策划了《</w:t>
            </w:r>
            <w:r>
              <w:rPr>
                <w:rFonts w:hint="eastAsia" w:cs="Times New Roman" w:asciiTheme="minorEastAsia" w:hAnsiTheme="minorEastAsia" w:eastAsia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疫情防控应急工作预案》，对疫情期间的疫情防控物资的发放、人员的管控、每日的人员体温检测、环境的消毒等进行了策划</w:t>
            </w:r>
          </w:p>
          <w:p>
            <w:pPr>
              <w:rPr>
                <w:b w:val="0"/>
                <w:bCs w:val="0"/>
              </w:rPr>
            </w:pPr>
          </w:p>
        </w:tc>
        <w:tc>
          <w:tcPr>
            <w:tcW w:w="1585" w:type="dxa"/>
          </w:tcPr>
          <w:p>
            <w:pPr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 w:ascii="Times New Roman" w:hAnsi="Times New Roman" w:eastAsia="宋体" w:cs="Lucida Sans"/>
                <w:b w:val="0"/>
                <w:bCs w:val="0"/>
                <w:szCs w:val="20"/>
              </w:rPr>
              <w:t>应急准备和响应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Times New Roman" w:hAnsi="Times New Roman" w:eastAsia="宋体" w:cs="Lucida Sans"/>
                <w:b w:val="0"/>
                <w:bCs w:val="0"/>
                <w:szCs w:val="20"/>
              </w:rPr>
            </w:pPr>
            <w:r>
              <w:rPr>
                <w:rFonts w:ascii="Times New Roman" w:hAnsi="Times New Roman" w:eastAsia="宋体" w:cs="Lucida Sans"/>
                <w:b w:val="0"/>
                <w:bCs w:val="0"/>
                <w:szCs w:val="20"/>
              </w:rPr>
              <w:t>E</w:t>
            </w:r>
            <w:r>
              <w:rPr>
                <w:rFonts w:hint="eastAsia" w:cs="Lucida Sans"/>
                <w:b w:val="0"/>
                <w:bCs w:val="0"/>
                <w:szCs w:val="20"/>
                <w:lang w:val="en-US" w:eastAsia="zh-CN"/>
              </w:rPr>
              <w:t>S</w:t>
            </w:r>
            <w:r>
              <w:rPr>
                <w:rFonts w:ascii="Times New Roman" w:hAnsi="Times New Roman" w:eastAsia="宋体" w:cs="Lucida Sans"/>
                <w:b w:val="0"/>
                <w:bCs w:val="0"/>
                <w:szCs w:val="20"/>
              </w:rPr>
              <w:t>8.2</w:t>
            </w:r>
          </w:p>
          <w:p>
            <w:pPr>
              <w:rPr>
                <w:b w:val="0"/>
                <w:bCs w:val="0"/>
              </w:rPr>
            </w:pPr>
          </w:p>
        </w:tc>
        <w:tc>
          <w:tcPr>
            <w:tcW w:w="10004" w:type="dxa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宋体" w:cs="Lucida Sans"/>
                <w:b w:val="0"/>
                <w:bCs w:val="0"/>
                <w:szCs w:val="20"/>
                <w:lang w:val="en-US" w:eastAsia="zh-CN"/>
              </w:rPr>
            </w:pPr>
            <w:r>
              <w:rPr>
                <w:rFonts w:hint="eastAsia" w:cs="Lucida Sans"/>
                <w:b w:val="0"/>
                <w:bCs w:val="0"/>
                <w:szCs w:val="20"/>
                <w:lang w:val="en-US" w:eastAsia="zh-CN"/>
              </w:rPr>
              <w:t>参加公司统一组织的应急演练活动，具体详见综合部ES</w:t>
            </w:r>
            <w:bookmarkStart w:id="0" w:name="_GoBack"/>
            <w:bookmarkEnd w:id="0"/>
            <w:r>
              <w:rPr>
                <w:rFonts w:hint="eastAsia" w:cs="Lucida Sans"/>
                <w:b w:val="0"/>
                <w:bCs w:val="0"/>
                <w:szCs w:val="20"/>
                <w:lang w:val="en-US" w:eastAsia="zh-CN"/>
              </w:rPr>
              <w:t>8.2审核记录</w:t>
            </w:r>
          </w:p>
          <w:p>
            <w:pPr>
              <w:rPr>
                <w:b w:val="0"/>
                <w:bCs w:val="0"/>
              </w:rPr>
            </w:pPr>
          </w:p>
        </w:tc>
        <w:tc>
          <w:tcPr>
            <w:tcW w:w="1585" w:type="dxa"/>
          </w:tcPr>
          <w:p>
            <w:pPr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OK</w:t>
            </w:r>
          </w:p>
        </w:tc>
      </w:tr>
    </w:tbl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1799B"/>
    <w:rsid w:val="000237F6"/>
    <w:rsid w:val="0003373A"/>
    <w:rsid w:val="000400E2"/>
    <w:rsid w:val="00062E46"/>
    <w:rsid w:val="000840F6"/>
    <w:rsid w:val="00087A33"/>
    <w:rsid w:val="000B020C"/>
    <w:rsid w:val="000C3FF7"/>
    <w:rsid w:val="00116913"/>
    <w:rsid w:val="001707F6"/>
    <w:rsid w:val="00195095"/>
    <w:rsid w:val="001A1C49"/>
    <w:rsid w:val="001A2D7F"/>
    <w:rsid w:val="001A34EF"/>
    <w:rsid w:val="001B43C2"/>
    <w:rsid w:val="001F2625"/>
    <w:rsid w:val="00291FEA"/>
    <w:rsid w:val="002939AD"/>
    <w:rsid w:val="002A2285"/>
    <w:rsid w:val="002A5825"/>
    <w:rsid w:val="002B4406"/>
    <w:rsid w:val="00303DB5"/>
    <w:rsid w:val="00337922"/>
    <w:rsid w:val="00340867"/>
    <w:rsid w:val="00380837"/>
    <w:rsid w:val="00392D45"/>
    <w:rsid w:val="003A198A"/>
    <w:rsid w:val="003F0DE6"/>
    <w:rsid w:val="003F12E0"/>
    <w:rsid w:val="00410914"/>
    <w:rsid w:val="00415DCC"/>
    <w:rsid w:val="00444235"/>
    <w:rsid w:val="004E71EB"/>
    <w:rsid w:val="00536930"/>
    <w:rsid w:val="00552106"/>
    <w:rsid w:val="00562CB3"/>
    <w:rsid w:val="00564E53"/>
    <w:rsid w:val="00586F5B"/>
    <w:rsid w:val="0059120E"/>
    <w:rsid w:val="005D5659"/>
    <w:rsid w:val="00600C20"/>
    <w:rsid w:val="00644FE2"/>
    <w:rsid w:val="00671C34"/>
    <w:rsid w:val="0067640C"/>
    <w:rsid w:val="006B6DFE"/>
    <w:rsid w:val="006C578E"/>
    <w:rsid w:val="006E678B"/>
    <w:rsid w:val="00711AC3"/>
    <w:rsid w:val="007302FD"/>
    <w:rsid w:val="00771E5F"/>
    <w:rsid w:val="007757F3"/>
    <w:rsid w:val="007A7680"/>
    <w:rsid w:val="007E6AEB"/>
    <w:rsid w:val="008534ED"/>
    <w:rsid w:val="008973EE"/>
    <w:rsid w:val="00926D1D"/>
    <w:rsid w:val="00971600"/>
    <w:rsid w:val="009973B4"/>
    <w:rsid w:val="009C28C1"/>
    <w:rsid w:val="009E4939"/>
    <w:rsid w:val="009F7EED"/>
    <w:rsid w:val="00A079CB"/>
    <w:rsid w:val="00A07A6A"/>
    <w:rsid w:val="00A15ED5"/>
    <w:rsid w:val="00A56EAF"/>
    <w:rsid w:val="00A80636"/>
    <w:rsid w:val="00AE0EBA"/>
    <w:rsid w:val="00AF0AAB"/>
    <w:rsid w:val="00B21AC1"/>
    <w:rsid w:val="00B46B2A"/>
    <w:rsid w:val="00B75BC6"/>
    <w:rsid w:val="00B83D4D"/>
    <w:rsid w:val="00BB1411"/>
    <w:rsid w:val="00BF597E"/>
    <w:rsid w:val="00BF5C94"/>
    <w:rsid w:val="00C51A36"/>
    <w:rsid w:val="00C55228"/>
    <w:rsid w:val="00C616A7"/>
    <w:rsid w:val="00CB429C"/>
    <w:rsid w:val="00CE315A"/>
    <w:rsid w:val="00CF0319"/>
    <w:rsid w:val="00D06F59"/>
    <w:rsid w:val="00D8388C"/>
    <w:rsid w:val="00DE45C7"/>
    <w:rsid w:val="00E30F29"/>
    <w:rsid w:val="00E6224C"/>
    <w:rsid w:val="00E7766B"/>
    <w:rsid w:val="00EA77A5"/>
    <w:rsid w:val="00EB0164"/>
    <w:rsid w:val="00EB2230"/>
    <w:rsid w:val="00ED0F62"/>
    <w:rsid w:val="00EE3CE1"/>
    <w:rsid w:val="00F80B81"/>
    <w:rsid w:val="034C51C5"/>
    <w:rsid w:val="0562705E"/>
    <w:rsid w:val="09760BC6"/>
    <w:rsid w:val="09981E28"/>
    <w:rsid w:val="09F551AB"/>
    <w:rsid w:val="0A4B31B1"/>
    <w:rsid w:val="0A8A6BA7"/>
    <w:rsid w:val="0B23277A"/>
    <w:rsid w:val="0D4B69C7"/>
    <w:rsid w:val="0EEF4590"/>
    <w:rsid w:val="0F3468D0"/>
    <w:rsid w:val="0F997E93"/>
    <w:rsid w:val="104D1619"/>
    <w:rsid w:val="108219C2"/>
    <w:rsid w:val="10DE7C48"/>
    <w:rsid w:val="11D6584F"/>
    <w:rsid w:val="120D3A2D"/>
    <w:rsid w:val="133E7CE9"/>
    <w:rsid w:val="15371138"/>
    <w:rsid w:val="165737A4"/>
    <w:rsid w:val="16FC641A"/>
    <w:rsid w:val="178A5CE8"/>
    <w:rsid w:val="181E4E80"/>
    <w:rsid w:val="1A091769"/>
    <w:rsid w:val="1ABA03CF"/>
    <w:rsid w:val="1B1D2677"/>
    <w:rsid w:val="1B5D1D69"/>
    <w:rsid w:val="1D390463"/>
    <w:rsid w:val="1D3C6D23"/>
    <w:rsid w:val="1D8E5A11"/>
    <w:rsid w:val="1DA36BB1"/>
    <w:rsid w:val="1E290899"/>
    <w:rsid w:val="22073838"/>
    <w:rsid w:val="225474FE"/>
    <w:rsid w:val="231F2396"/>
    <w:rsid w:val="23237352"/>
    <w:rsid w:val="232665D9"/>
    <w:rsid w:val="248A4DCD"/>
    <w:rsid w:val="25F60562"/>
    <w:rsid w:val="26790CA2"/>
    <w:rsid w:val="26E62F85"/>
    <w:rsid w:val="29755C6A"/>
    <w:rsid w:val="2B356A43"/>
    <w:rsid w:val="2BB1558C"/>
    <w:rsid w:val="2CD94080"/>
    <w:rsid w:val="2D9475F8"/>
    <w:rsid w:val="2F0E5F1B"/>
    <w:rsid w:val="2FAD3FD0"/>
    <w:rsid w:val="3126251D"/>
    <w:rsid w:val="31AD1AE8"/>
    <w:rsid w:val="31D252EC"/>
    <w:rsid w:val="31F7156A"/>
    <w:rsid w:val="32AB0118"/>
    <w:rsid w:val="339F5F59"/>
    <w:rsid w:val="3427326B"/>
    <w:rsid w:val="351D0083"/>
    <w:rsid w:val="369F4E21"/>
    <w:rsid w:val="38A222EE"/>
    <w:rsid w:val="3A312611"/>
    <w:rsid w:val="3DF3476E"/>
    <w:rsid w:val="3E265BD2"/>
    <w:rsid w:val="3F0222CC"/>
    <w:rsid w:val="3FAB3A1E"/>
    <w:rsid w:val="401D2006"/>
    <w:rsid w:val="40244DDE"/>
    <w:rsid w:val="41AD78F5"/>
    <w:rsid w:val="43542F66"/>
    <w:rsid w:val="43A439C8"/>
    <w:rsid w:val="44B81226"/>
    <w:rsid w:val="45AA1E1F"/>
    <w:rsid w:val="462D7215"/>
    <w:rsid w:val="46A47E45"/>
    <w:rsid w:val="47230452"/>
    <w:rsid w:val="49586EA8"/>
    <w:rsid w:val="49822AC3"/>
    <w:rsid w:val="4BA22525"/>
    <w:rsid w:val="4BCD6209"/>
    <w:rsid w:val="4DCB6A41"/>
    <w:rsid w:val="4EA95B28"/>
    <w:rsid w:val="51107B5F"/>
    <w:rsid w:val="51152F83"/>
    <w:rsid w:val="51562946"/>
    <w:rsid w:val="528C1234"/>
    <w:rsid w:val="53E33F86"/>
    <w:rsid w:val="5513591F"/>
    <w:rsid w:val="55B4200A"/>
    <w:rsid w:val="55D3314C"/>
    <w:rsid w:val="58455CA1"/>
    <w:rsid w:val="59D15B05"/>
    <w:rsid w:val="5A076719"/>
    <w:rsid w:val="5EA12B9A"/>
    <w:rsid w:val="5FAF1CEF"/>
    <w:rsid w:val="616A3A39"/>
    <w:rsid w:val="62CC6143"/>
    <w:rsid w:val="62D77D40"/>
    <w:rsid w:val="63A828F7"/>
    <w:rsid w:val="63C255F7"/>
    <w:rsid w:val="644843F8"/>
    <w:rsid w:val="64687842"/>
    <w:rsid w:val="646E474A"/>
    <w:rsid w:val="64711015"/>
    <w:rsid w:val="66956685"/>
    <w:rsid w:val="67D077E9"/>
    <w:rsid w:val="6A006F03"/>
    <w:rsid w:val="6A675D38"/>
    <w:rsid w:val="6D9020D6"/>
    <w:rsid w:val="6EA36731"/>
    <w:rsid w:val="6F611BF9"/>
    <w:rsid w:val="6FE16B9E"/>
    <w:rsid w:val="707E7B4E"/>
    <w:rsid w:val="718314ED"/>
    <w:rsid w:val="74421025"/>
    <w:rsid w:val="748B1532"/>
    <w:rsid w:val="753B6A83"/>
    <w:rsid w:val="755B24E3"/>
    <w:rsid w:val="76920644"/>
    <w:rsid w:val="7738099C"/>
    <w:rsid w:val="77A81EE5"/>
    <w:rsid w:val="77B06974"/>
    <w:rsid w:val="7A041EA6"/>
    <w:rsid w:val="7D220426"/>
    <w:rsid w:val="7DF35C09"/>
    <w:rsid w:val="7E46108E"/>
    <w:rsid w:val="7F085A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Plain Text"/>
    <w:basedOn w:val="1"/>
    <w:link w:val="17"/>
    <w:qFormat/>
    <w:uiPriority w:val="0"/>
    <w:rPr>
      <w:rFonts w:ascii="宋体" w:hAnsi="Courier New"/>
      <w:szCs w:val="21"/>
    </w:rPr>
  </w:style>
  <w:style w:type="paragraph" w:styleId="5">
    <w:name w:val="Body Text Indent 2"/>
    <w:basedOn w:val="1"/>
    <w:qFormat/>
    <w:uiPriority w:val="0"/>
    <w:pPr>
      <w:ind w:firstLine="560" w:firstLineChars="200"/>
    </w:pPr>
    <w:rPr>
      <w:rFonts w:ascii="宋体" w:hAnsi="宋体"/>
      <w:sz w:val="28"/>
    </w:rPr>
  </w:style>
  <w:style w:type="paragraph" w:styleId="6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Char"/>
    <w:basedOn w:val="1"/>
    <w:qFormat/>
    <w:uiPriority w:val="0"/>
    <w:pPr>
      <w:widowControl/>
      <w:spacing w:after="160" w:line="240" w:lineRule="exact"/>
      <w:jc w:val="left"/>
    </w:p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纯文本 Char"/>
    <w:link w:val="4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1554</Words>
  <Characters>8864</Characters>
  <Lines>73</Lines>
  <Paragraphs>20</Paragraphs>
  <TotalTime>0</TotalTime>
  <ScaleCrop>false</ScaleCrop>
  <LinksUpToDate>false</LinksUpToDate>
  <CharactersWithSpaces>10398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2021-04-04T02:33:30Z</dcterms:modified>
  <cp:revision>215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016267445E494B99922087D02E97BD01</vt:lpwstr>
  </property>
</Properties>
</file>