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柱塞式往复泵排出压力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柱塞式往复泵排出压力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JX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压力（6-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震压力表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256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CX/BJX12-2018《机动往复泵试验大纲》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震压力表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CC704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江苏世通仪器检测服务有限公司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CC704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震压力表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.2MPa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CC704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震压力表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71.5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21030" cy="501650"/>
                  <wp:effectExtent l="0" t="0" r="7620" b="12700"/>
                  <wp:docPr id="5" name="图片 5" descr="57aaa4351422b297bea81251c63c2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7aaa4351422b297bea81251c63c22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BEA752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3930EA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79521F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3C1C46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2021-04-04T11:01:13Z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DB17234BFEAB4F8F84D084CED3543084</vt:lpwstr>
  </property>
</Properties>
</file>