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隶书" w:hAnsi="宋体" w:eastAsia="隶书" w:cs="Times New Roman"/>
          <w:bCs/>
          <w:color w:val="000000"/>
          <w:sz w:val="36"/>
          <w:szCs w:val="36"/>
        </w:rPr>
        <w:t>管理体系远程审核记录表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过程与活动、</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抽样计划</w:t>
            </w:r>
          </w:p>
        </w:tc>
        <w:tc>
          <w:tcPr>
            <w:tcW w:w="1019" w:type="dxa"/>
            <w:vMerge w:val="restart"/>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涉及</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条款</w:t>
            </w: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受审核部门：管理层     主管领导：李建国、    陪同人员：韩振伟</w:t>
            </w:r>
          </w:p>
        </w:tc>
        <w:tc>
          <w:tcPr>
            <w:tcW w:w="760"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019" w:type="dxa"/>
            <w:vMerge w:val="continue"/>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审核员：李雅静              审核时间：2021年03月29日</w:t>
            </w:r>
          </w:p>
        </w:tc>
        <w:tc>
          <w:tcPr>
            <w:tcW w:w="760"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1" w:hRule="atLeast"/>
        </w:trPr>
        <w:tc>
          <w:tcPr>
            <w:tcW w:w="1707" w:type="dxa"/>
            <w:vMerge w:val="continue"/>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019" w:type="dxa"/>
            <w:vMerge w:val="continue"/>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涉及标准条款：4.1理解组织及其环境、4.2理解相关方的需求和期望、4.3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国家/地方监督抽查情况；顾客满意、相关方投诉及处理情况；上次审核问题验证，验证企业相关资质证明的有效性</w:t>
            </w:r>
          </w:p>
        </w:tc>
        <w:tc>
          <w:tcPr>
            <w:tcW w:w="760"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企业基本信息</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公司最高管理者李建国、管代张勤平。近一年公司组织机构没有发生大的变化。 </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襄阳皖丰机械有限公司成立于2019年10月9日，法人代表：韩振伟，注册地址：襄阳市高新技术开发区新风路6号，经营地址：襄阳市高新技术开发区新风路6号襄阳鹰牌轴承院内。</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公司主要从事申请范围内的汽车轮彀单元、轴承内外圈的加工和销售。体系范围不变。</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领导作用和承诺、组织的岗位职责和权限</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Q：5.1，5.3  </w:t>
            </w: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负责人李建国介绍，公司成立以来确定了各个部门及其职责，2019.11.10日建立了文件化的管理体系，公司各部门沟通信息传递良好。</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总经理负责公司全面运行，负责组织制定方针、目标、管理评审等工作.管代张勤平主要负责体系工作，其职责为：</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1）确保质量管理体系的过程得到建立和保持；</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2）向最高管理者报告质量管理体系的业绩，包括改进的需求；</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3）在整个公司内促进提高满足顾客要求意识的形成；</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4）与质量管理体系有关事宜的外部联络。</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总经理对公司体系的运行持续提供必需的资源，总体能履行其管理承诺。</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经交流总经理和管代了解管理体系的基本运行情况，比较重视公司管理及体系建设。组织公司人员在上一年度进行了多次的标准培训，提高了全员对标准的理解能力。</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理解组织及其环境</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4.1</w:t>
            </w: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公司基本确定与其目标和战略方向相关并影响其实现质量管理体系预期结果的各种外部和内部因素。</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识别了企业的内外部因素，内容主要包括相关法律法规、技术及原材料、竞争、人员、客户投诉、目标达成等因素，识别了各环境因素的重要度、风险与机遇、优势、劣势。如过去的一年由于疫情的原因对公司产生的影响等因素。</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理解相关方的需求和期望</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4.2</w:t>
            </w: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由办公室负责组织对相关方的评估，提供2021年度 《相关方要求识别表》，分析了政府、股东及合作伙伴、客户、供应商、生产部及办公室等需求和期望，明确了各需求和期望的相关过程，基本没有大的变化。编制：韩振伟，审核：张勤平，2021.01.10日。</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质量管理体系的范围</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4.3 </w:t>
            </w:r>
          </w:p>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经确认企业本次提出的管理体系审核范围没有变化，仍然是：</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QMS: 汽车轮彀单元、轴承内外圈的加工和销售；</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在营业执照的经营范围内。</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其中Q8.3产品和服务的设计和开发不适用，公司产品严格按照顾客提供图纸和样品生产，设备精密自动化，工艺成熟，人员稳定，故标准中“8.3 产品和服务的设计和开发”条款不适用，不使用本条款后不影响本公司为顾客提供合格产品的责任，删减适宜。</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质量管理体系及其过程</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4.4  </w:t>
            </w:r>
          </w:p>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企业按标准要求建立了文件化的管理体系，识别了质量管理所需的过程。</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本年度没有对公司现有的体系管理过程实施变更。</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方针</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5.2</w:t>
            </w:r>
          </w:p>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在《质量手册》中明确了质量方针：精益求精、质量第一、顾客满意。</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方针以文件的形式向各部门发放，会议上就质量方针作沟通。</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总经理和管代按照标准要求制订的方针，管理评审对质量方针的适宜性作了评审，判定适宜，适合公司的发展需求。质量方针符合标准要求。</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组织的角色、职责和权限</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5.3  </w:t>
            </w: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组织机构图列出公司的各个部门，《职务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总经理、管理者代表等各部门主要负责人的职责在手册中作出规定。</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应对风险和机会的措施</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6.1</w:t>
            </w: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公司确定各个过程所需要应对的风险和机会。编制了QP/01-2019《风险和机遇的应对控制程序》，规定了风险管理控制相关内容。</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提供“经营管理SWOT分析表”、“风险识别与控制表”，编制/日期：韩振伟2021/01/12  ，对公司各项活动、过程的风险和机遇进行了分析，评价风险级别及进行的管理措施。基本满足标准要求。</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经组织评价，组织策划的措施基本能够满足风险和机遇应对需要，能够与识别的风险和机遇对产品符合性的潜在影响相适应，基本满足标准要求。目前主要的风险为疫情导致的供应链断裂的风险及员工无法正常工作等风险，有具体的控制措施，如加强了对供应商的管理及影响，员工加强防护等，经评审措施有效。</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目标和措施计划</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6.2  </w:t>
            </w: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在《质量手册》中制定的公司目标有2项本年度无变化：</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1）产品一次交检合格率≥98%；</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2）顾客满意率≥94分，在此基础上逐年提高；</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提供的《公司及各部门质量目标》，表明目标已分解到各部门，有计算方法、考核依据、考核人、考核周期，编制：韩振伟，审核：张勤平，批准：李建国，生效日期:2020年 11月10日。部门目标分解不够充分，实现质量目标的资源和措施策划不够充分的问题在本年度有较大的提升。</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并提供2020年度《质量目标完成情况统计表》、《质量目标达成状况一览表》，经考核能达成目标，但是目标考核与目标分解不能一一对应。</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变更的策划</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Q6.3</w:t>
            </w: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体系建立运行以来，未有变更情况发生。</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资源</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Q7.1.1 </w:t>
            </w:r>
          </w:p>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内部组织机构设置见组织机构图，设置了总经理、管理者代表、办公室、生产部、业务部和品质部。组织结构设置与组织相关文件的描述一致；相关岗位的职责和权限有明确规定。</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查组织有场所一处，与申报的场所一致。</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目前，公司现有资源配置持续满足产品生产、销售服务和管理体系运行需要。</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沟通、</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7.4  </w:t>
            </w: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公司通过各种会议、文件下发、培训、检查、电话、交谈、微信、互联网等形式，对合同、销售、服务、质量、体系等进行内部沟通，促进各部门和岗位相互了解和信任，达到全员增强质量安全的意识。</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利用电话、信函、走访、回访、顾客满意度调查等方式进行外部信息交流，确保质量信息与相关方得到有效沟通。</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各部门负责与业务有关的内外部信息沟通，管理者代表负责就与质量管理体系有关事宜的外部联络、沟通。</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目前公司内外信息交流渠道顺畅、交流信息广泛。</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管理评审</w:t>
            </w: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Q9.3 </w:t>
            </w:r>
          </w:p>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公司编制QP15-2019《管理评审控制程序》，基本规定管理评审相关内容和要求。公司策划并于2021/1/29日进行了管理评审，提供会议签到单。</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查看 “管理评审计划”，规定了评审目的、评审内容、评审要求、评审参加部门人员。</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查管理评审输入: 内部质量审核结果报告、质量管理体系运行情况、过程的业绩和产品质量趋势分析、顾客对产品和服务质量意见及分析改进建议、纠正措施状况等，基本全面。</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查管理评审输出：</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查看了总经理李建国批准的“管理评审报告”，对公司体系文件的符合性、质量方针和质量目标制定的适宜性、风险和机遇的应对情况、内审实施情况、管理目标完成情况、管理体系的适宜性、有效性、充分性做出了评价。评审结论：公司的管理体系是适宜的、充分的和有效的，达到了顾客满意和持续改进的目的。</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提出了3项改进措施:</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1.为质量管理体系的保持和持续改进对公司今后的工作提出了要求，具体为：</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a.质量管理体系是公司管理的核心，所有与质量有关的管理、执行、验证人员都应进一步学习和理解ISO9001标准和公司的体系文件，把每一件工作做得更好，将自己的工作上一个新台阶。</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b.质量管理工作的重点是将方针目标的展开落实到实处，即：合格供方的评审等。</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c.进一步做好顾客调查、收集顾客意见，做好顾客服务工作。</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2.依据公司发展规划对方针目标进行不断调整，将方针目标展开和对落实情况的记录检查是对质</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量管理体系有效性策划和持续改进，以适应体系环境的需要；</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3.为确保产品一次交验合格率90%以上，应加强对合格供方、原辅材料、外购配套物料的质量控制；</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形成具体的质量计划，有部门及负责人跟踪确认其完成情况的有效性。</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改进</w:t>
            </w:r>
          </w:p>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019"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10</w:t>
            </w:r>
          </w:p>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vAlign w:val="center"/>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根据公司的战略方向，利用质量方针、质量目标、审核结果、数据分析的输出、管理评审输出、风险和机遇的应对措施、过程监视和测量结果、质量绩效分析和评价、顾客投诉、满意度测量输出，发现改进的机会，采取措施，实施对管理体系的有效性的持续改进。</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针对相关方的需求和期望、市场分析结果、数据分析的输出等发现的潜在不合格确定并实施改进措施，实现持续改进。管理评审提出的改进建议3项，目前正在实施中。</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国家/地方抽查、顾客满意、相关方投诉处理</w:t>
            </w:r>
          </w:p>
        </w:tc>
        <w:tc>
          <w:tcPr>
            <w:tcW w:w="1019" w:type="dxa"/>
          </w:tcPr>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公司成立和体系运行以来，未受到上级主管部门有关质量问题的行政处罚。未发生相关方的投诉。到目前为止没有国家/地方抽查情况。目前没有相关行政主管部门的检查处罚情况。</w:t>
            </w:r>
          </w:p>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总经理介绍日常顾客反馈都是一些小问题，已及时处理，顾客满意。</w:t>
            </w:r>
          </w:p>
        </w:tc>
        <w:tc>
          <w:tcPr>
            <w:tcW w:w="76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验证企业相关资质证明的有效性</w:t>
            </w:r>
          </w:p>
        </w:tc>
        <w:tc>
          <w:tcPr>
            <w:tcW w:w="1019" w:type="dxa"/>
          </w:tcPr>
          <w:p>
            <w:pPr>
              <w:jc w:val="left"/>
              <w:rPr>
                <w:rFonts w:hint="eastAsia" w:ascii="宋体" w:hAnsi="宋体" w:eastAsia="宋体" w:cs="Times New Roman"/>
                <w:color w:val="000000" w:themeColor="text1"/>
                <w:szCs w:val="21"/>
                <w:lang w:val="en-US" w:eastAsia="zh-CN"/>
                <w14:textFill>
                  <w14:solidFill>
                    <w14:schemeClr w14:val="tx1"/>
                  </w14:solidFill>
                </w14:textFill>
              </w:rPr>
            </w:pPr>
          </w:p>
        </w:tc>
        <w:tc>
          <w:tcPr>
            <w:tcW w:w="11223" w:type="dxa"/>
          </w:tcPr>
          <w:p>
            <w:pPr>
              <w:jc w:val="left"/>
              <w:rPr>
                <w:rFonts w:hint="eastAsia"/>
                <w:lang w:val="en-US" w:eastAsia="zh-CN"/>
              </w:rPr>
            </w:pPr>
            <w:r>
              <w:rPr>
                <w:rFonts w:hint="eastAsia"/>
                <w:lang w:val="en-US" w:eastAsia="zh-CN"/>
              </w:rPr>
              <w:t>营业执照与提交的一致。</w:t>
            </w:r>
          </w:p>
          <w:p>
            <w:pPr>
              <w:rPr>
                <w:rFonts w:ascii="宋体"/>
                <w:color w:val="auto"/>
                <w:szCs w:val="21"/>
              </w:rPr>
            </w:pPr>
            <w:r>
              <w:rPr>
                <w:rFonts w:hint="eastAsia" w:asciiTheme="minorEastAsia" w:hAnsiTheme="minorEastAsia" w:eastAsiaTheme="minorEastAsia" w:cstheme="minorEastAsia"/>
                <w:color w:val="auto"/>
                <w:szCs w:val="21"/>
              </w:rPr>
              <w:t>查国家企业信用信息公示系统，企业无异常经营记录、无违法失信记录。</w:t>
            </w:r>
          </w:p>
          <w:p>
            <w:pPr>
              <w:pStyle w:val="2"/>
              <w:rPr>
                <w:rFonts w:asciiTheme="minorEastAsia" w:hAnsiTheme="minorEastAsia" w:eastAsiaTheme="minorEastAsia" w:cstheme="minorEastAsia"/>
                <w:bCs w:val="0"/>
                <w:color w:val="auto"/>
                <w:szCs w:val="21"/>
              </w:rPr>
            </w:pPr>
            <w:r>
              <w:rPr>
                <w:rFonts w:hint="eastAsia" w:asciiTheme="minorEastAsia" w:hAnsiTheme="minorEastAsia" w:eastAsiaTheme="minorEastAsia" w:cstheme="minorEastAsia"/>
                <w:bCs w:val="0"/>
                <w:color w:val="auto"/>
                <w:szCs w:val="21"/>
              </w:rPr>
              <w:t>对于企业的外包过程也进行了充分识别，公司无外包过程</w:t>
            </w:r>
          </w:p>
          <w:p>
            <w:pPr>
              <w:keepNext w:val="0"/>
              <w:keepLines w:val="0"/>
              <w:widowControl/>
              <w:numPr>
                <w:numId w:val="0"/>
              </w:numPr>
              <w:suppressLineNumbers w:val="0"/>
              <w:ind w:leftChars="0"/>
              <w:jc w:val="left"/>
              <w:rPr>
                <w:rFonts w:hint="eastAsia" w:ascii="宋体" w:hAnsi="宋体" w:cs="宋体"/>
                <w:b/>
                <w:bCs/>
                <w:color w:val="000000"/>
                <w:kern w:val="0"/>
                <w:sz w:val="21"/>
                <w:szCs w:val="21"/>
                <w:lang w:val="en-US" w:eastAsia="zh-CN" w:bidi="ar"/>
              </w:rPr>
            </w:pPr>
            <w:r>
              <w:rPr>
                <w:rFonts w:hint="eastAsia" w:asciiTheme="minorEastAsia" w:hAnsiTheme="minorEastAsia" w:eastAsiaTheme="minorEastAsia" w:cstheme="minorEastAsia"/>
                <w:color w:val="auto"/>
                <w:szCs w:val="21"/>
                <w:lang w:val="en-US" w:eastAsia="zh-CN"/>
              </w:rPr>
              <w:t>上次审核</w:t>
            </w:r>
            <w:r>
              <w:rPr>
                <w:rFonts w:hint="eastAsia" w:asciiTheme="minorEastAsia" w:hAnsiTheme="minorEastAsia" w:eastAsiaTheme="minorEastAsia" w:cstheme="minorEastAsia"/>
                <w:color w:val="auto"/>
                <w:szCs w:val="21"/>
              </w:rPr>
              <w:t>问题</w:t>
            </w:r>
            <w:r>
              <w:rPr>
                <w:rFonts w:hint="eastAsia" w:asciiTheme="minorEastAsia" w:hAnsiTheme="minorEastAsia" w:eastAsiaTheme="minorEastAsia" w:cstheme="minorEastAsia"/>
                <w:color w:val="auto"/>
                <w:szCs w:val="21"/>
                <w:lang w:eastAsia="zh-CN"/>
              </w:rPr>
              <w:t>：</w:t>
            </w:r>
            <w:r>
              <w:rPr>
                <w:rFonts w:hint="eastAsia" w:ascii="宋体" w:hAnsi="宋体"/>
                <w:b w:val="0"/>
                <w:bCs/>
                <w:sz w:val="21"/>
                <w:szCs w:val="21"/>
                <w:lang w:val="en-US" w:eastAsia="zh-CN"/>
              </w:rPr>
              <w:t>“</w:t>
            </w:r>
            <w:r>
              <w:rPr>
                <w:rFonts w:hint="eastAsia" w:ascii="宋体" w:hAnsi="宋体" w:eastAsia="宋体" w:cs="宋体"/>
                <w:b w:val="0"/>
                <w:bCs/>
                <w:color w:val="000000"/>
                <w:kern w:val="0"/>
                <w:sz w:val="21"/>
                <w:szCs w:val="21"/>
                <w:lang w:val="en-US" w:eastAsia="zh-CN" w:bidi="ar"/>
              </w:rPr>
              <w:t>审核时发现公司的质量目标考核项目与质量目标分解表不能一一对应，部分质量目标如设备完好率和监 测测量设备周检率没有考核，不符合规定要求。</w:t>
            </w:r>
            <w:r>
              <w:rPr>
                <w:rFonts w:hint="eastAsia" w:ascii="宋体" w:hAnsi="宋体" w:cs="宋体"/>
                <w:b/>
                <w:bCs/>
                <w:color w:val="000000"/>
                <w:kern w:val="0"/>
                <w:sz w:val="21"/>
                <w:szCs w:val="21"/>
                <w:lang w:val="en-US" w:eastAsia="zh-CN" w:bidi="ar"/>
              </w:rPr>
              <w:t>”</w:t>
            </w:r>
          </w:p>
          <w:p>
            <w:pPr>
              <w:pStyle w:val="2"/>
              <w:numPr>
                <w:ilvl w:val="0"/>
                <w:numId w:val="0"/>
              </w:numPr>
              <w:ind w:leftChars="0"/>
              <w:rPr>
                <w:rFonts w:asciiTheme="minorEastAsia" w:hAnsiTheme="minorEastAsia" w:eastAsiaTheme="minorEastAsia" w:cstheme="minorEastAsia"/>
                <w:color w:val="auto"/>
                <w:szCs w:val="21"/>
              </w:rPr>
            </w:pPr>
            <w:r>
              <w:rPr>
                <w:rFonts w:hint="eastAsia"/>
                <w:lang w:val="en-US" w:eastAsia="zh-CN"/>
              </w:rPr>
              <w:t>此次审核未在出现，整改有效</w:t>
            </w:r>
            <w:bookmarkStart w:id="0" w:name="_GoBack"/>
            <w:bookmarkEnd w:id="0"/>
          </w:p>
          <w:p>
            <w:pPr>
              <w:ind w:firstLine="420" w:firstLineChars="200"/>
              <w:rPr>
                <w:color w:val="auto"/>
              </w:rPr>
            </w:pPr>
            <w:r>
              <w:rPr>
                <w:rFonts w:hint="eastAsia" w:asciiTheme="minorEastAsia" w:hAnsiTheme="minorEastAsia" w:eastAsiaTheme="minorEastAsia" w:cstheme="minorEastAsia"/>
                <w:color w:val="auto"/>
                <w:szCs w:val="21"/>
              </w:rPr>
              <w:t>投诉或事故:无      政府主管部门监督抽查情况:无</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查企业基本信息与初审没变化，审核范围无变化</w:t>
            </w:r>
          </w:p>
          <w:p>
            <w:pPr>
              <w:pStyle w:val="2"/>
              <w:rPr>
                <w:rFonts w:hint="eastAsia"/>
                <w:lang w:val="en-US" w:eastAsia="zh-CN"/>
              </w:rPr>
            </w:pPr>
          </w:p>
        </w:tc>
        <w:tc>
          <w:tcPr>
            <w:tcW w:w="760" w:type="dxa"/>
          </w:tcPr>
          <w:p>
            <w:pPr>
              <w:spacing w:line="360" w:lineRule="auto"/>
              <w:rPr>
                <w:rFonts w:ascii="楷体" w:hAnsi="楷体" w:eastAsia="楷体" w:cs="宋体"/>
                <w:sz w:val="24"/>
                <w:szCs w:val="24"/>
              </w:rPr>
            </w:pPr>
          </w:p>
        </w:tc>
      </w:tr>
    </w:tbl>
    <w:p>
      <w:pPr>
        <w:pStyle w:val="6"/>
        <w:spacing w:line="360" w:lineRule="auto"/>
        <w:rPr>
          <w:rFonts w:ascii="楷体" w:hAnsi="楷体" w:eastAsia="楷体"/>
          <w:sz w:val="24"/>
          <w:szCs w:val="24"/>
        </w:rPr>
      </w:pPr>
      <w:r>
        <w:rPr>
          <w:rFonts w:hint="eastAsia" w:ascii="楷体" w:hAnsi="楷体" w:eastAsia="楷体"/>
          <w:sz w:val="24"/>
          <w:szCs w:val="24"/>
        </w:rPr>
        <w:t>说明：不符合标注N</w:t>
      </w:r>
    </w:p>
    <w:p>
      <w:pPr>
        <w:pStyle w:val="6"/>
        <w:spacing w:line="360" w:lineRule="auto"/>
        <w:rPr>
          <w:rFonts w:ascii="楷体" w:hAnsi="楷体" w:eastAsia="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5"/>
        <w:rFonts w:hint="default"/>
      </w:rPr>
      <w:t xml:space="preserve">        </w:t>
    </w:r>
    <w:r>
      <w:rPr>
        <w:rStyle w:val="15"/>
        <w:rFonts w:hint="default"/>
        <w:w w:val="90"/>
      </w:rPr>
      <w:t>Beijing International Otandard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1AB3"/>
    <w:rsid w:val="00022B60"/>
    <w:rsid w:val="000237F6"/>
    <w:rsid w:val="0003373A"/>
    <w:rsid w:val="00061650"/>
    <w:rsid w:val="00066269"/>
    <w:rsid w:val="00075183"/>
    <w:rsid w:val="0008257F"/>
    <w:rsid w:val="00087633"/>
    <w:rsid w:val="00094CAD"/>
    <w:rsid w:val="000974BB"/>
    <w:rsid w:val="000B1497"/>
    <w:rsid w:val="000D0710"/>
    <w:rsid w:val="000D44D2"/>
    <w:rsid w:val="000E381C"/>
    <w:rsid w:val="000E3E7C"/>
    <w:rsid w:val="000E5921"/>
    <w:rsid w:val="000F5676"/>
    <w:rsid w:val="00116523"/>
    <w:rsid w:val="001170CC"/>
    <w:rsid w:val="00123D60"/>
    <w:rsid w:val="00131AA4"/>
    <w:rsid w:val="00136644"/>
    <w:rsid w:val="001528B4"/>
    <w:rsid w:val="00157648"/>
    <w:rsid w:val="001633B4"/>
    <w:rsid w:val="00185847"/>
    <w:rsid w:val="001A12CE"/>
    <w:rsid w:val="001A2D7F"/>
    <w:rsid w:val="001B690A"/>
    <w:rsid w:val="001C1192"/>
    <w:rsid w:val="001D22BC"/>
    <w:rsid w:val="001D4541"/>
    <w:rsid w:val="001E292E"/>
    <w:rsid w:val="001E4E51"/>
    <w:rsid w:val="00200329"/>
    <w:rsid w:val="00215FF3"/>
    <w:rsid w:val="00247EC4"/>
    <w:rsid w:val="00270F7E"/>
    <w:rsid w:val="002B19C2"/>
    <w:rsid w:val="002D3139"/>
    <w:rsid w:val="002E3F80"/>
    <w:rsid w:val="00306A1E"/>
    <w:rsid w:val="00306E25"/>
    <w:rsid w:val="003108B1"/>
    <w:rsid w:val="00321B19"/>
    <w:rsid w:val="00337922"/>
    <w:rsid w:val="00340867"/>
    <w:rsid w:val="00341987"/>
    <w:rsid w:val="00362F86"/>
    <w:rsid w:val="00364679"/>
    <w:rsid w:val="00380837"/>
    <w:rsid w:val="00383E85"/>
    <w:rsid w:val="003A198A"/>
    <w:rsid w:val="003B71CE"/>
    <w:rsid w:val="003F725E"/>
    <w:rsid w:val="004077A9"/>
    <w:rsid w:val="00410914"/>
    <w:rsid w:val="00410E0B"/>
    <w:rsid w:val="00415C1E"/>
    <w:rsid w:val="0044018E"/>
    <w:rsid w:val="00455BD1"/>
    <w:rsid w:val="004569CC"/>
    <w:rsid w:val="00456F2B"/>
    <w:rsid w:val="004644C2"/>
    <w:rsid w:val="00475023"/>
    <w:rsid w:val="004A42EB"/>
    <w:rsid w:val="004C4753"/>
    <w:rsid w:val="0051000D"/>
    <w:rsid w:val="0051463B"/>
    <w:rsid w:val="005220D8"/>
    <w:rsid w:val="0052306B"/>
    <w:rsid w:val="00524912"/>
    <w:rsid w:val="005344B3"/>
    <w:rsid w:val="00536930"/>
    <w:rsid w:val="00564E53"/>
    <w:rsid w:val="00564E60"/>
    <w:rsid w:val="00572023"/>
    <w:rsid w:val="00584D34"/>
    <w:rsid w:val="00596570"/>
    <w:rsid w:val="005A2084"/>
    <w:rsid w:val="005B76D5"/>
    <w:rsid w:val="005B7C26"/>
    <w:rsid w:val="005B7DA8"/>
    <w:rsid w:val="005D5BBC"/>
    <w:rsid w:val="005F0597"/>
    <w:rsid w:val="006014BD"/>
    <w:rsid w:val="006224AF"/>
    <w:rsid w:val="00635728"/>
    <w:rsid w:val="006376F1"/>
    <w:rsid w:val="00644FE2"/>
    <w:rsid w:val="006476A2"/>
    <w:rsid w:val="0066389B"/>
    <w:rsid w:val="00663FB2"/>
    <w:rsid w:val="00664375"/>
    <w:rsid w:val="006703A6"/>
    <w:rsid w:val="00674346"/>
    <w:rsid w:val="00674843"/>
    <w:rsid w:val="0067640C"/>
    <w:rsid w:val="0068334B"/>
    <w:rsid w:val="0068587A"/>
    <w:rsid w:val="006C725D"/>
    <w:rsid w:val="006D3933"/>
    <w:rsid w:val="006E0BFD"/>
    <w:rsid w:val="006E678B"/>
    <w:rsid w:val="006F026D"/>
    <w:rsid w:val="0071424F"/>
    <w:rsid w:val="00723474"/>
    <w:rsid w:val="00734992"/>
    <w:rsid w:val="007545E5"/>
    <w:rsid w:val="00756E54"/>
    <w:rsid w:val="0077082C"/>
    <w:rsid w:val="007757F3"/>
    <w:rsid w:val="00790A31"/>
    <w:rsid w:val="00790B4D"/>
    <w:rsid w:val="00791D53"/>
    <w:rsid w:val="0079270C"/>
    <w:rsid w:val="0079343F"/>
    <w:rsid w:val="007B6294"/>
    <w:rsid w:val="007D46B1"/>
    <w:rsid w:val="007E0DE5"/>
    <w:rsid w:val="007E6AEB"/>
    <w:rsid w:val="008074F1"/>
    <w:rsid w:val="00812953"/>
    <w:rsid w:val="00823A5A"/>
    <w:rsid w:val="008427A1"/>
    <w:rsid w:val="00876444"/>
    <w:rsid w:val="00876BDE"/>
    <w:rsid w:val="0087713C"/>
    <w:rsid w:val="00891D6B"/>
    <w:rsid w:val="008973EE"/>
    <w:rsid w:val="008E5120"/>
    <w:rsid w:val="008F4958"/>
    <w:rsid w:val="00906BB3"/>
    <w:rsid w:val="00944AD1"/>
    <w:rsid w:val="00960CD9"/>
    <w:rsid w:val="009637EE"/>
    <w:rsid w:val="00965516"/>
    <w:rsid w:val="00966CB3"/>
    <w:rsid w:val="00971600"/>
    <w:rsid w:val="00973048"/>
    <w:rsid w:val="0097353F"/>
    <w:rsid w:val="00980E14"/>
    <w:rsid w:val="009973B4"/>
    <w:rsid w:val="009A158D"/>
    <w:rsid w:val="009A58B7"/>
    <w:rsid w:val="009B01BB"/>
    <w:rsid w:val="009B6424"/>
    <w:rsid w:val="009C28C1"/>
    <w:rsid w:val="009D0730"/>
    <w:rsid w:val="009F672C"/>
    <w:rsid w:val="009F7EED"/>
    <w:rsid w:val="00A0591D"/>
    <w:rsid w:val="00A35738"/>
    <w:rsid w:val="00A4404F"/>
    <w:rsid w:val="00A61090"/>
    <w:rsid w:val="00A6164F"/>
    <w:rsid w:val="00A72F49"/>
    <w:rsid w:val="00A771C4"/>
    <w:rsid w:val="00A90739"/>
    <w:rsid w:val="00A9401E"/>
    <w:rsid w:val="00AA1945"/>
    <w:rsid w:val="00AB7E2D"/>
    <w:rsid w:val="00AB7F5F"/>
    <w:rsid w:val="00AD13A9"/>
    <w:rsid w:val="00AE0C4D"/>
    <w:rsid w:val="00AE59FA"/>
    <w:rsid w:val="00AF0AAB"/>
    <w:rsid w:val="00AF6841"/>
    <w:rsid w:val="00B008F1"/>
    <w:rsid w:val="00B01B68"/>
    <w:rsid w:val="00B021AE"/>
    <w:rsid w:val="00B2792E"/>
    <w:rsid w:val="00B34606"/>
    <w:rsid w:val="00B42593"/>
    <w:rsid w:val="00B45F3A"/>
    <w:rsid w:val="00B67984"/>
    <w:rsid w:val="00B75671"/>
    <w:rsid w:val="00B81B70"/>
    <w:rsid w:val="00B93168"/>
    <w:rsid w:val="00BA73A2"/>
    <w:rsid w:val="00BB28E5"/>
    <w:rsid w:val="00BB2BF9"/>
    <w:rsid w:val="00BF04CA"/>
    <w:rsid w:val="00BF0916"/>
    <w:rsid w:val="00BF597E"/>
    <w:rsid w:val="00C03796"/>
    <w:rsid w:val="00C20445"/>
    <w:rsid w:val="00C24BC6"/>
    <w:rsid w:val="00C326B4"/>
    <w:rsid w:val="00C327EC"/>
    <w:rsid w:val="00C32BE2"/>
    <w:rsid w:val="00C36E8A"/>
    <w:rsid w:val="00C40849"/>
    <w:rsid w:val="00C44FE0"/>
    <w:rsid w:val="00C51A36"/>
    <w:rsid w:val="00C55228"/>
    <w:rsid w:val="00C7183B"/>
    <w:rsid w:val="00C80022"/>
    <w:rsid w:val="00C97720"/>
    <w:rsid w:val="00CA53C3"/>
    <w:rsid w:val="00CB3235"/>
    <w:rsid w:val="00CB71C3"/>
    <w:rsid w:val="00CC2B8C"/>
    <w:rsid w:val="00CC5B90"/>
    <w:rsid w:val="00CE315A"/>
    <w:rsid w:val="00CE7799"/>
    <w:rsid w:val="00CF418F"/>
    <w:rsid w:val="00D06F59"/>
    <w:rsid w:val="00D23748"/>
    <w:rsid w:val="00D30CD3"/>
    <w:rsid w:val="00D43439"/>
    <w:rsid w:val="00D505C2"/>
    <w:rsid w:val="00D53965"/>
    <w:rsid w:val="00D63212"/>
    <w:rsid w:val="00D67E83"/>
    <w:rsid w:val="00D828F1"/>
    <w:rsid w:val="00D82D62"/>
    <w:rsid w:val="00D8388C"/>
    <w:rsid w:val="00D95D59"/>
    <w:rsid w:val="00D9664F"/>
    <w:rsid w:val="00D972FF"/>
    <w:rsid w:val="00DA7D0B"/>
    <w:rsid w:val="00DC6F75"/>
    <w:rsid w:val="00DE75B7"/>
    <w:rsid w:val="00E1119F"/>
    <w:rsid w:val="00E2205C"/>
    <w:rsid w:val="00E254CA"/>
    <w:rsid w:val="00E340D6"/>
    <w:rsid w:val="00E469EA"/>
    <w:rsid w:val="00E50A81"/>
    <w:rsid w:val="00E70140"/>
    <w:rsid w:val="00E70861"/>
    <w:rsid w:val="00E76BC5"/>
    <w:rsid w:val="00E820FE"/>
    <w:rsid w:val="00E85A97"/>
    <w:rsid w:val="00E907FB"/>
    <w:rsid w:val="00EA62BC"/>
    <w:rsid w:val="00EB0164"/>
    <w:rsid w:val="00EC00A9"/>
    <w:rsid w:val="00EC2927"/>
    <w:rsid w:val="00ED0F62"/>
    <w:rsid w:val="00EE002F"/>
    <w:rsid w:val="00EE0633"/>
    <w:rsid w:val="00EE5333"/>
    <w:rsid w:val="00EF0F90"/>
    <w:rsid w:val="00F00A91"/>
    <w:rsid w:val="00F30930"/>
    <w:rsid w:val="00F470F5"/>
    <w:rsid w:val="00F83341"/>
    <w:rsid w:val="00FA3C55"/>
    <w:rsid w:val="00FA4545"/>
    <w:rsid w:val="00FA6523"/>
    <w:rsid w:val="00FC1416"/>
    <w:rsid w:val="00FC5828"/>
    <w:rsid w:val="00FD2D04"/>
    <w:rsid w:val="00FE0102"/>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53408EA"/>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15E1184"/>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72216E8"/>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link w:val="19"/>
    <w:unhideWhenUsed/>
    <w:qFormat/>
    <w:uiPriority w:val="0"/>
    <w:rPr>
      <w:rFonts w:ascii="宋体" w:hAnsi="Courier New"/>
    </w:r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0"/>
    <w:pPr>
      <w:ind w:firstLine="420" w:firstLineChars="200"/>
    </w:pPr>
    <w:rPr>
      <w:rFonts w:ascii="Calibri" w:hAnsi="Calibri"/>
      <w:szCs w:val="22"/>
    </w:rPr>
  </w:style>
  <w:style w:type="paragraph" w:customStyle="1" w:styleId="17">
    <w:name w:val="列出段落1"/>
    <w:basedOn w:val="1"/>
    <w:qFormat/>
    <w:uiPriority w:val="34"/>
    <w:pPr>
      <w:ind w:firstLine="420" w:firstLineChars="200"/>
    </w:pPr>
  </w:style>
  <w:style w:type="paragraph" w:customStyle="1" w:styleId="18">
    <w:name w:val="东方正文"/>
    <w:basedOn w:val="1"/>
    <w:qFormat/>
    <w:uiPriority w:val="0"/>
    <w:pPr>
      <w:spacing w:line="400" w:lineRule="exact"/>
      <w:ind w:left="284" w:right="284"/>
    </w:pPr>
  </w:style>
  <w:style w:type="character" w:customStyle="1" w:styleId="19">
    <w:name w:val="纯文本 Char"/>
    <w:link w:val="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618</Words>
  <Characters>3523</Characters>
  <Lines>29</Lines>
  <Paragraphs>8</Paragraphs>
  <TotalTime>1</TotalTime>
  <ScaleCrop>false</ScaleCrop>
  <LinksUpToDate>false</LinksUpToDate>
  <CharactersWithSpaces>4133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2020-02-20T09:06:00Z</dcterms:created>
  <dc:creator>微软用户</dc:creator>
  <cp:lastModifiedBy>叶子</cp:lastModifiedBy>
  <dcterms:modified xsi:type="dcterms:W3CDTF">2021-03-29T13:47:29Z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DCE464D1F6DC43F38FCD4F022E9EADC8</vt:lpwstr>
  </property>
</Properties>
</file>