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eastAsiaTheme="minorEastAsia"/>
          <w:b/>
          <w:sz w:val="28"/>
          <w:szCs w:val="28"/>
          <w:lang w:eastAsia="zh-CN"/>
        </w:rPr>
        <w:t>LED防爆泛光灯</w:t>
      </w:r>
      <w:r>
        <w:rPr>
          <w:rFonts w:eastAsiaTheme="minorEastAsia"/>
          <w:b/>
          <w:sz w:val="28"/>
          <w:szCs w:val="28"/>
        </w:rPr>
        <w:t>接地电阻测试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  <w:t>LED防爆泛光灯</w:t>
            </w:r>
            <w:r>
              <w:rPr>
                <w:rFonts w:eastAsiaTheme="minorEastAsia"/>
                <w:b w:val="0"/>
                <w:bCs/>
                <w:sz w:val="24"/>
                <w:szCs w:val="24"/>
              </w:rPr>
              <w:t>接地电阻测试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生产部(技术）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szCs w:val="21"/>
              </w:rPr>
              <w:t>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0-600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5m</w:t>
            </w:r>
            <w:r>
              <w:rPr>
                <w:szCs w:val="21"/>
              </w:rPr>
              <w:t>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Q/RL010--2018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RLB121 系列防爆免维护LED灯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LR-JLJC-012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广东精衡检测科技有限公司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LR-JLJC-012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0.9m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LR-JLJC-012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5.77m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alt="" type="#_x0000_t75" style="height:46.55pt;width:17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114300" distR="114300">
                  <wp:extent cx="622935" cy="268605"/>
                  <wp:effectExtent l="0" t="0" r="5715" b="17145"/>
                  <wp:docPr id="5" name="图片 5" descr="154c333ad31a4d39b0b5bdbfc4ef6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4c333ad31a4d39b0b5bdbfc4ef66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10737" b="38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CC2785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5712984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4E9C006E"/>
    <w:rsid w:val="50490076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2021-03-30T08:41:42Z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B0B75DAABF0E4898A55E4425C71FD511</vt:lpwstr>
  </property>
</Properties>
</file>