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0229-2021-O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重庆市建新建筑防水材料厂</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文平</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徐会</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专家</w:t>
            </w:r>
          </w:p>
          <w:p>
            <w:pPr>
              <w:spacing w:line="240" w:lineRule="exact"/>
              <w:jc w:val="center"/>
              <w:rPr>
                <w:b/>
                <w:color w:val="000000"/>
                <w:sz w:val="20"/>
                <w:szCs w:val="20"/>
              </w:rPr>
            </w:pPr>
          </w:p>
        </w:tc>
        <w:tc>
          <w:tcPr>
            <w:tcW w:w="2179" w:type="dxa"/>
            <w:gridSpan w:val="2"/>
            <w:vAlign w:val="center"/>
          </w:tcPr>
          <w:p>
            <w:pPr>
              <w:spacing w:line="240" w:lineRule="exact"/>
              <w:jc w:val="center"/>
              <w:rPr>
                <w:b/>
                <w:color w:val="000000"/>
                <w:sz w:val="20"/>
                <w:szCs w:val="20"/>
              </w:rPr>
            </w:pPr>
            <w:r>
              <w:rPr>
                <w:b/>
                <w:color w:val="000000"/>
                <w:sz w:val="20"/>
                <w:szCs w:val="20"/>
              </w:rPr>
              <w:t>15.06.02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李凤仪</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hint="eastAsia" w:ascii="宋体" w:hAnsi="宋体"/>
          <w:b/>
          <w:color w:val="000000"/>
          <w:sz w:val="20"/>
          <w:szCs w:val="20"/>
          <w:lang w:val="en-US" w:eastAsia="zh-CN"/>
        </w:rPr>
        <w:t>ISO45001</w:t>
      </w:r>
      <w:r>
        <w:rPr>
          <w:rFonts w:ascii="宋体" w:hAnsi="宋体"/>
          <w:b/>
          <w:color w:val="000000"/>
          <w:sz w:val="20"/>
          <w:szCs w:val="20"/>
          <w:lang w:val="de-DE"/>
        </w:rPr>
        <w:t>-20</w:t>
      </w:r>
      <w:r>
        <w:rPr>
          <w:rFonts w:hint="eastAsia" w:ascii="宋体" w:hAnsi="宋体"/>
          <w:b/>
          <w:color w:val="000000"/>
          <w:sz w:val="20"/>
          <w:szCs w:val="20"/>
          <w:lang w:val="en-US" w:eastAsia="zh-CN"/>
        </w:rPr>
        <w:t>18</w:t>
      </w:r>
      <w:r>
        <w:rPr>
          <w:rFonts w:ascii="宋体" w:hAnsi="宋体"/>
          <w:b/>
          <w:color w:val="000000"/>
          <w:sz w:val="20"/>
          <w:szCs w:val="20"/>
          <w:lang w:val="de-DE"/>
        </w:rPr>
        <w:t xml:space="preserve"> </w:t>
      </w:r>
      <w:r>
        <w:rPr>
          <w:rFonts w:hint="eastAsia" w:ascii="宋体" w:hAnsi="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重庆市建新建筑防水材料厂</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重庆市九龙坡区火炬大道101号16-12号</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400039</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重庆市璧山区七塘镇依凤乡</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402775</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王平</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023-65207274</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王卫东</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许云林</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1363063124@qq.com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2020年11月1日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建筑防水卷材（石油沥青玻璃纤维胎防水卷材、自粘聚合物改性沥青防水卷材、弹性体改性沥青防水卷材）的生产所涉及场所的相关职业健康安全管理活动。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15.06.02</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91" w:firstLineChars="148"/>
        <w:rPr>
          <w:rFonts w:hint="default" w:ascii="宋体" w:eastAsia="宋体"/>
          <w:b/>
          <w:color w:val="000000"/>
          <w:sz w:val="20"/>
          <w:szCs w:val="20"/>
          <w:lang w:val="en-US" w:eastAsia="zh-CN"/>
        </w:rPr>
      </w:pPr>
      <w:r>
        <w:rPr>
          <w:rFonts w:hint="eastAsia" w:ascii="宋体" w:hAnsi="宋体"/>
          <w:b/>
          <w:color w:val="000000"/>
          <w:spacing w:val="-2"/>
          <w:sz w:val="20"/>
          <w:szCs w:val="20"/>
          <w:lang w:eastAsia="zh-CN"/>
        </w:rPr>
        <w:t>■</w:t>
      </w:r>
      <w:r>
        <w:rPr>
          <w:rFonts w:hint="eastAsia" w:ascii="宋体" w:hAnsi="宋体"/>
          <w:b/>
          <w:color w:val="000000"/>
          <w:spacing w:val="-2"/>
          <w:sz w:val="20"/>
          <w:szCs w:val="20"/>
        </w:rPr>
        <w:t>文件评</w:t>
      </w:r>
      <w:r>
        <w:rPr>
          <w:rFonts w:hint="eastAsia" w:ascii="宋体" w:hAnsi="宋体"/>
          <w:b/>
          <w:color w:val="000000"/>
          <w:spacing w:val="-2"/>
          <w:sz w:val="20"/>
          <w:szCs w:val="20"/>
          <w:lang w:val="en-US" w:eastAsia="zh-CN"/>
        </w:rPr>
        <w:t>未</w:t>
      </w:r>
      <w:r>
        <w:rPr>
          <w:rFonts w:hint="eastAsia" w:ascii="宋体" w:hAnsi="宋体"/>
          <w:b/>
          <w:color w:val="000000"/>
          <w:spacing w:val="-2"/>
          <w:sz w:val="20"/>
          <w:szCs w:val="20"/>
        </w:rPr>
        <w:t>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管理手册、程序文件、内部审核、管理评审等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hAnsi="宋体" w:eastAsia="宋体" w:cs="Times New Roman"/>
          <w:b/>
          <w:color w:val="000000"/>
          <w:sz w:val="20"/>
          <w:szCs w:val="20"/>
          <w:lang w:val="en-US" w:eastAsia="zh-CN"/>
        </w:rPr>
      </w:pPr>
      <w:r>
        <w:rPr>
          <w:rFonts w:hint="eastAsia" w:ascii="宋体" w:hAnsi="宋体"/>
          <w:b/>
          <w:color w:val="000000"/>
          <w:sz w:val="20"/>
          <w:szCs w:val="20"/>
        </w:rPr>
        <w:t>部门：</w:t>
      </w:r>
      <w:r>
        <w:rPr>
          <w:rFonts w:hint="eastAsia" w:ascii="宋体" w:hAnsi="宋体" w:eastAsia="宋体" w:cs="Times New Roman"/>
          <w:b/>
          <w:color w:val="000000"/>
          <w:sz w:val="20"/>
          <w:szCs w:val="20"/>
          <w:lang w:val="en-US" w:eastAsia="zh-CN"/>
        </w:rPr>
        <w:t>行政部、生产部 、技术质量部、采购部、销售部、财务部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r>
        <w:rPr>
          <w:rFonts w:hint="eastAsia" w:ascii="宋体" w:hAnsi="宋体"/>
          <w:b/>
          <w:color w:val="000000"/>
          <w:sz w:val="20"/>
          <w:szCs w:val="20"/>
          <w:lang w:val="en-US" w:eastAsia="zh-CN"/>
        </w:rPr>
        <w:t>办公场所、生产场所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Lines="50"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是否确定了与其宗旨和战略方向相关并影响其实现质量管理体系预期结果的能力的各种外部和内部因素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、质量管理体系覆盖的范围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是否确定了质量管理体系覆盖范围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r>
              <w:rPr>
                <w:rFonts w:ascii="宋体" w:hAnsi="宋体"/>
                <w:color w:val="000000"/>
                <w:spacing w:val="-10"/>
                <w:sz w:val="20"/>
                <w:szCs w:val="20"/>
              </w:rPr>
              <w:t xml:space="preserve"> </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ascii="宋体" w:hAnsi="宋体"/>
                <w:color w:val="000000"/>
                <w:sz w:val="20"/>
                <w:szCs w:val="20"/>
              </w:rPr>
              <w:t xml:space="preserve">   </w:t>
            </w: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 xml:space="preserve">）删减是否合理 </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r>
              <w:rPr>
                <w:rFonts w:ascii="宋体" w:hAnsi="宋体"/>
                <w:color w:val="000000"/>
                <w:sz w:val="20"/>
                <w:szCs w:val="20"/>
              </w:rPr>
              <w:t xml:space="preserve"> </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hint="eastAsia" w:ascii="宋体" w:eastAsia="宋体"/>
                <w:b/>
                <w:color w:val="000000"/>
                <w:sz w:val="20"/>
                <w:szCs w:val="20"/>
                <w:lang w:eastAsia="zh-CN"/>
              </w:rPr>
            </w:pPr>
            <w:r>
              <w:rPr>
                <w:rFonts w:hint="eastAsia" w:ascii="宋体" w:hAnsi="宋体"/>
                <w:b/>
                <w:color w:val="000000"/>
                <w:sz w:val="20"/>
                <w:szCs w:val="20"/>
              </w:rPr>
              <w:t>产品：</w:t>
            </w:r>
            <w:r>
              <w:rPr>
                <w:rFonts w:hint="eastAsia" w:ascii="宋体" w:hAnsi="宋体"/>
                <w:szCs w:val="21"/>
              </w:rPr>
              <w:t>建筑防水卷材（石油沥青玻璃纤维胎防水卷材、自粘聚合物改性沥青防水卷材、弹性体改性沥青防水卷材）的生产</w:t>
            </w:r>
            <w:r>
              <w:rPr>
                <w:rFonts w:hint="eastAsia" w:ascii="宋体" w:hAnsi="宋体"/>
                <w:szCs w:val="21"/>
                <w:lang w:eastAsia="zh-CN"/>
              </w:rPr>
              <w:t>。</w:t>
            </w:r>
          </w:p>
          <w:p>
            <w:pPr>
              <w:widowControl/>
              <w:jc w:val="left"/>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Lines="50"/>
              <w:ind w:left="357" w:hanging="357"/>
              <w:rPr>
                <w:rFonts w:hint="eastAsia" w:ascii="宋体" w:hAnsi="宋体" w:eastAsia="宋体" w:cs="Times New Roman"/>
                <w:b/>
                <w:color w:val="000000"/>
                <w:sz w:val="20"/>
                <w:szCs w:val="20"/>
                <w:lang w:val="en-US" w:eastAsia="zh-CN"/>
              </w:rPr>
            </w:pPr>
            <w:r>
              <w:rPr>
                <w:rFonts w:hint="eastAsia" w:ascii="宋体" w:hAnsi="宋体"/>
                <w:b/>
                <w:color w:val="000000"/>
                <w:sz w:val="20"/>
                <w:szCs w:val="20"/>
              </w:rPr>
              <w:t>公司部门设置：</w:t>
            </w:r>
            <w:r>
              <w:rPr>
                <w:rFonts w:hint="eastAsia" w:ascii="宋体" w:hAnsi="宋体" w:eastAsia="宋体" w:cs="Times New Roman"/>
                <w:b/>
                <w:color w:val="000000"/>
                <w:sz w:val="20"/>
                <w:szCs w:val="20"/>
                <w:lang w:val="en-US" w:eastAsia="zh-CN"/>
              </w:rPr>
              <w:t>行政部、生产部 、技术质量部、采购部、销售部、财务部。</w:t>
            </w:r>
          </w:p>
          <w:p>
            <w:pPr>
              <w:tabs>
                <w:tab w:val="left" w:pos="360"/>
              </w:tabs>
              <w:spacing w:beforeLines="50"/>
              <w:ind w:left="357" w:hanging="357"/>
              <w:rPr>
                <w:rFonts w:hint="default" w:ascii="宋体" w:hAns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eastAsia="宋体" w:cs="Times New Roman"/>
                <w:b/>
                <w:color w:val="000000"/>
                <w:sz w:val="20"/>
                <w:szCs w:val="20"/>
                <w:lang w:val="en-US" w:eastAsia="zh-CN"/>
              </w:rPr>
              <w:t>行政部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职业健康安全主管部门：</w:t>
            </w:r>
            <w:r>
              <w:rPr>
                <w:rFonts w:hint="eastAsia" w:ascii="宋体" w:hAnsi="宋体" w:eastAsia="宋体" w:cs="Times New Roman"/>
                <w:b/>
                <w:color w:val="000000"/>
                <w:sz w:val="20"/>
                <w:szCs w:val="20"/>
                <w:lang w:val="en-US" w:eastAsia="zh-CN"/>
              </w:rPr>
              <w:t>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r>
              <w:rPr>
                <w:rFonts w:hint="eastAsia" w:ascii="宋体" w:hAnsi="宋体"/>
                <w:color w:val="000000"/>
                <w:sz w:val="20"/>
                <w:szCs w:val="20"/>
              </w:rPr>
              <w:t>无</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r>
              <w:rPr>
                <w:rFonts w:hint="eastAsia" w:ascii="宋体" w:hAnsi="宋体"/>
                <w:color w:val="000000"/>
                <w:sz w:val="20"/>
                <w:szCs w:val="20"/>
              </w:rPr>
              <w:t>无</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r>
              <w:rPr>
                <w:rFonts w:hint="eastAsia" w:ascii="宋体"/>
                <w:color w:val="000000"/>
                <w:sz w:val="20"/>
                <w:szCs w:val="20"/>
                <w:highlight w:val="none"/>
              </w:rPr>
              <w:t>无</w:t>
            </w:r>
            <w:r>
              <w:rPr>
                <w:rFonts w:hint="eastAsia" w:ascii="宋体" w:hAnsi="宋体"/>
                <w:color w:val="000000"/>
                <w:sz w:val="20"/>
                <w:szCs w:val="20"/>
                <w:highlight w:val="none"/>
              </w:rPr>
              <w:t>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rPr>
                <w:rFonts w:ascii="宋体"/>
                <w:color w:val="000000"/>
                <w:sz w:val="20"/>
                <w:szCs w:val="20"/>
              </w:rPr>
            </w:pPr>
            <w:r>
              <w:rPr>
                <w:rFonts w:hint="eastAsia" w:ascii="宋体" w:hAnsi="宋体"/>
                <w:color w:val="000000"/>
                <w:sz w:val="20"/>
                <w:szCs w:val="20"/>
              </w:rPr>
              <w:t>受审核方位于：</w:t>
            </w:r>
            <w:bookmarkStart w:id="24" w:name="生产地址"/>
            <w:r>
              <w:t>重庆市璧山区七塘镇依凤乡</w:t>
            </w:r>
            <w:bookmarkEnd w:id="24"/>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sz w:val="20"/>
                <w:szCs w:val="20"/>
                <w:lang w:eastAsia="zh-CN"/>
              </w:rPr>
              <w:t>□</w:t>
            </w:r>
            <w:r>
              <w:rPr>
                <w:rFonts w:hint="eastAsia" w:ascii="宋体" w:hAnsi="宋体"/>
                <w:color w:val="000000"/>
                <w:sz w:val="20"/>
                <w:szCs w:val="20"/>
              </w:rPr>
              <w:t>自建办公用房</w:t>
            </w:r>
            <w:r>
              <w:rPr>
                <w:rFonts w:hint="eastAsia" w:ascii="宋体" w:hAnsi="宋体"/>
                <w:color w:val="000000"/>
                <w:spacing w:val="-10"/>
                <w:sz w:val="20"/>
                <w:szCs w:val="20"/>
                <w:lang w:eastAsia="zh-CN"/>
              </w:rPr>
              <w:t>□</w:t>
            </w:r>
            <w:r>
              <w:rPr>
                <w:rFonts w:hint="eastAsia" w:ascii="宋体" w:hAnsi="宋体"/>
                <w:color w:val="000000"/>
                <w:sz w:val="20"/>
                <w:szCs w:val="20"/>
              </w:rPr>
              <w:t>自建厂房</w:t>
            </w:r>
            <w:r>
              <w:rPr>
                <w:rFonts w:hint="eastAsia" w:ascii="宋体" w:hAnsi="宋体"/>
                <w:color w:val="000000"/>
                <w:spacing w:val="-10"/>
                <w:sz w:val="20"/>
                <w:szCs w:val="20"/>
              </w:rPr>
              <w:t>□</w:t>
            </w:r>
            <w:r>
              <w:rPr>
                <w:rFonts w:hint="eastAsia" w:ascii="宋体" w:hAnsi="宋体"/>
                <w:spacing w:val="-10"/>
                <w:sz w:val="20"/>
                <w:szCs w:val="20"/>
              </w:rPr>
              <w:t>租用办公用</w:t>
            </w:r>
            <w:r>
              <w:rPr>
                <w:rFonts w:hint="eastAsia" w:ascii="宋体" w:hAnsi="宋体"/>
                <w:spacing w:val="-10"/>
                <w:sz w:val="20"/>
                <w:szCs w:val="20"/>
                <w:highlight w:val="none"/>
              </w:rPr>
              <w:t>房</w:t>
            </w:r>
            <w:r>
              <w:rPr>
                <w:rFonts w:hint="eastAsia" w:ascii="宋体" w:hAnsi="宋体"/>
                <w:sz w:val="20"/>
                <w:szCs w:val="20"/>
                <w:highlight w:val="none"/>
                <w:lang w:eastAsia="zh-CN"/>
              </w:rPr>
              <w:t>■</w:t>
            </w:r>
            <w:r>
              <w:rPr>
                <w:rFonts w:hint="eastAsia" w:ascii="宋体" w:hAnsi="宋体"/>
                <w:color w:val="000000"/>
                <w:spacing w:val="-10"/>
                <w:sz w:val="20"/>
                <w:szCs w:val="20"/>
                <w:highlight w:val="none"/>
              </w:rPr>
              <w:t>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ascii="宋体" w:hAnsi="宋体"/>
                <w:color w:val="000000"/>
                <w:sz w:val="20"/>
                <w:szCs w:val="20"/>
              </w:rPr>
              <w:t xml:space="preserve">  </w:t>
            </w:r>
            <w:r>
              <w:rPr>
                <w:rFonts w:hint="eastAsia" w:ascii="宋体" w:hAnsi="宋体"/>
                <w:color w:val="000000"/>
                <w:sz w:val="20"/>
                <w:szCs w:val="20"/>
                <w:highlight w:val="none"/>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有</w:t>
            </w:r>
            <w:r>
              <w:rPr>
                <w:rFonts w:ascii="宋体" w:hAnsi="宋体"/>
                <w:color w:val="000000"/>
                <w:sz w:val="20"/>
                <w:szCs w:val="20"/>
              </w:rPr>
              <w:t xml:space="preserve">  </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w:t>
            </w:r>
            <w:r>
              <w:rPr>
                <w:rFonts w:ascii="宋体" w:hAnsi="宋体"/>
                <w:color w:val="000000"/>
                <w:sz w:val="20"/>
                <w:szCs w:val="20"/>
              </w:rPr>
              <w:t xml:space="preserve">    </w:t>
            </w:r>
            <w:r>
              <w:rPr>
                <w:rFonts w:hint="eastAsia" w:ascii="宋体" w:hAnsi="宋体"/>
                <w:color w:val="000000"/>
                <w:sz w:val="20"/>
                <w:szCs w:val="20"/>
              </w:rPr>
              <w:t>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highlight w:val="none"/>
                <w:lang w:eastAsia="zh-CN"/>
              </w:rPr>
              <w:t>□</w:t>
            </w:r>
            <w:r>
              <w:rPr>
                <w:rFonts w:hint="eastAsia" w:ascii="宋体" w:hAnsi="宋体"/>
                <w:color w:val="000000"/>
                <w:sz w:val="20"/>
                <w:szCs w:val="20"/>
                <w:highlight w:val="none"/>
              </w:rPr>
              <w:t>是</w:t>
            </w: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r>
              <w:rPr>
                <w:rFonts w:hint="eastAsia" w:ascii="宋体" w:hAnsi="宋体"/>
                <w:color w:val="000000"/>
                <w:spacing w:val="-10"/>
                <w:sz w:val="20"/>
                <w:szCs w:val="20"/>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spacing w:line="440" w:lineRule="exact"/>
              <w:rPr>
                <w:rFonts w:hint="eastAsia" w:ascii="宋体" w:eastAsia="宋体"/>
                <w:color w:val="000000"/>
                <w:sz w:val="20"/>
                <w:szCs w:val="20"/>
                <w:lang w:val="en-US" w:eastAsia="zh-CN"/>
              </w:rPr>
            </w:pPr>
            <w:r>
              <w:rPr>
                <w:rFonts w:hint="eastAsia" w:ascii="宋体"/>
                <w:color w:val="000000"/>
                <w:sz w:val="20"/>
                <w:szCs w:val="20"/>
              </w:rPr>
              <w:t>其他资质：</w:t>
            </w: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□产品技术标准号：</w:t>
            </w:r>
            <w:r>
              <w:rPr>
                <w:rFonts w:ascii="宋体" w:hAnsi="宋体"/>
                <w:color w:val="000000"/>
                <w:spacing w:val="-10"/>
                <w:sz w:val="20"/>
                <w:szCs w:val="20"/>
              </w:rPr>
              <w:t xml:space="preserve">                    </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ascii="宋体" w:hAnsi="宋体"/>
                <w:color w:val="000000"/>
                <w:spacing w:val="-1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合格</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ascii="宋体"/>
                <w:color w:val="000000"/>
                <w:sz w:val="20"/>
                <w:szCs w:val="20"/>
              </w:rPr>
              <w:t xml:space="preserve">       </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ascii="宋体"/>
                <w:color w:val="000000"/>
                <w:sz w:val="20"/>
                <w:szCs w:val="20"/>
              </w:rPr>
              <w:t xml:space="preserve">   </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ascii="宋体"/>
                <w:color w:val="000000"/>
                <w:sz w:val="20"/>
                <w:szCs w:val="20"/>
              </w:rPr>
              <w:t xml:space="preserve">                       </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ascii="宋体"/>
                <w:color w:val="000000"/>
                <w:sz w:val="20"/>
                <w:szCs w:val="20"/>
              </w:rPr>
              <w:t xml:space="preserve">   </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ascii="宋体"/>
                <w:color w:val="000000"/>
                <w:sz w:val="20"/>
                <w:szCs w:val="20"/>
              </w:rPr>
              <w:t xml:space="preserve">                            </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ascii="宋体"/>
                <w:color w:val="000000"/>
                <w:sz w:val="20"/>
                <w:szCs w:val="20"/>
              </w:rPr>
              <w:t xml:space="preserve">                    </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2052" w:type="dxa"/>
            <w:vMerge w:val="restart"/>
            <w:vAlign w:val="center"/>
          </w:tcPr>
          <w:p>
            <w:pPr>
              <w:ind w:left="-1" w:leftChars="-1" w:hanging="1"/>
              <w:jc w:val="left"/>
              <w:rPr>
                <w:rFonts w:ascii="宋体"/>
                <w:color w:val="000000"/>
                <w:spacing w:val="-1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是■否</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ascii="宋体"/>
                <w:color w:val="000000"/>
                <w:sz w:val="20"/>
                <w:szCs w:val="20"/>
              </w:rPr>
              <w:t xml:space="preserve">    </w:t>
            </w:r>
            <w:r>
              <w:rPr>
                <w:rFonts w:hint="eastAsia" w:ascii="宋体"/>
                <w:color w:val="00000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ascii="宋体" w:hAnsi="宋体"/>
                <w:color w:val="000000"/>
                <w:sz w:val="20"/>
                <w:szCs w:val="20"/>
              </w:rPr>
              <w:t xml:space="preserve">       </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tabs>
                <w:tab w:val="left" w:pos="1950"/>
              </w:tabs>
              <w:rPr>
                <w:rFonts w:hint="eastAsia"/>
              </w:rPr>
            </w:pPr>
            <w:r>
              <w:rPr>
                <w:rFonts w:hint="eastAsia"/>
              </w:rPr>
              <w:t>产品</w:t>
            </w:r>
            <w:r>
              <w:rPr>
                <w:rFonts w:hint="eastAsia"/>
                <w:lang w:val="en-US" w:eastAsia="zh-CN"/>
              </w:rPr>
              <w:t>生产工艺</w:t>
            </w:r>
            <w:r>
              <w:rPr>
                <w:rFonts w:hint="eastAsia"/>
              </w:rPr>
              <w:t>流程：</w:t>
            </w:r>
          </w:p>
          <w:p>
            <w:pPr>
              <w:spacing w:line="400" w:lineRule="exact"/>
              <w:rPr>
                <w:rFonts w:hint="eastAsia"/>
                <w:lang w:val="en-US" w:eastAsia="zh-CN"/>
              </w:rPr>
            </w:pPr>
            <w:r>
              <w:rPr>
                <w:rFonts w:hint="eastAsia"/>
                <w:lang w:val="en-US" w:eastAsia="zh-CN"/>
              </w:rPr>
              <w:t>原料储存----沥青胶水----配料--搅拌---浸涂--铺膜--压花--自动成卷--包装--检验--入库。</w:t>
            </w:r>
          </w:p>
          <w:p>
            <w:pPr>
              <w:spacing w:line="400" w:lineRule="exact"/>
              <w:rPr>
                <w:rFonts w:ascii="宋体"/>
                <w:color w:val="000000"/>
                <w:sz w:val="18"/>
                <w:szCs w:val="18"/>
              </w:rPr>
            </w:pPr>
            <w:r>
              <w:rPr>
                <w:rFonts w:hint="eastAsia"/>
              </w:rPr>
              <w:t>关键过程：</w:t>
            </w:r>
            <w:r>
              <w:rPr>
                <w:rFonts w:hint="eastAsia" w:ascii="宋体" w:hAnsi="宋体" w:cs="宋体"/>
                <w:szCs w:val="21"/>
                <w:highlight w:val="none"/>
                <w:lang w:val="en-US" w:eastAsia="zh-CN"/>
              </w:rPr>
              <w:t>配料</w:t>
            </w:r>
            <w:r>
              <w:rPr>
                <w:rFonts w:hint="eastAsia" w:ascii="宋体" w:hAnsi="宋体" w:cs="宋体"/>
                <w:szCs w:val="21"/>
                <w:highlight w:val="none"/>
                <w:lang w:eastAsia="zh-CN"/>
              </w:rPr>
              <w:t>、</w:t>
            </w:r>
            <w:r>
              <w:rPr>
                <w:rFonts w:hint="eastAsia" w:ascii="宋体" w:hAnsi="宋体"/>
              </w:rPr>
              <w:t>搅拌</w:t>
            </w:r>
            <w:r>
              <w:rPr>
                <w:rFonts w:hint="eastAsia"/>
              </w:rPr>
              <w:t>过程</w:t>
            </w:r>
            <w:r>
              <w:rPr>
                <w:rFonts w:hint="eastAsia"/>
                <w:lang w:eastAsia="zh-CN"/>
              </w:rPr>
              <w:t>，</w:t>
            </w:r>
            <w:r>
              <w:rPr>
                <w:rFonts w:hint="eastAsia" w:ascii="宋体" w:hAnsi="宋体"/>
              </w:rPr>
              <w:t>搅拌</w:t>
            </w:r>
            <w:r>
              <w:rPr>
                <w:rFonts w:hint="eastAsia"/>
                <w:lang w:val="en-US" w:eastAsia="zh-CN"/>
              </w:rPr>
              <w:t>过程也是特殊过程</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highlight w:val="green"/>
              </w:rPr>
            </w:pPr>
            <w:r>
              <w:rPr>
                <w:rFonts w:hint="eastAsia" w:ascii="宋体" w:hAnsi="宋体"/>
                <w:color w:val="000000"/>
                <w:sz w:val="20"/>
                <w:szCs w:val="20"/>
              </w:rPr>
              <w:t>关键过程有：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highlight w:val="green"/>
              </w:rPr>
            </w:pPr>
            <w:r>
              <w:rPr>
                <w:rFonts w:hint="eastAsia" w:ascii="宋体" w:hAnsi="宋体"/>
                <w:color w:val="000000"/>
                <w:sz w:val="20"/>
                <w:szCs w:val="20"/>
              </w:rPr>
              <w:t>针对关键过程建立的控制文件有：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highlight w:val="green"/>
              </w:rPr>
            </w:pPr>
            <w:r>
              <w:rPr>
                <w:rFonts w:hint="eastAsia" w:ascii="宋体" w:hAnsi="宋体"/>
                <w:color w:val="000000"/>
                <w:sz w:val="20"/>
                <w:szCs w:val="20"/>
              </w:rPr>
              <w:t xml:space="preserve">需要确认过程：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highlight w:val="green"/>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pacing w:val="-10"/>
                <w:sz w:val="20"/>
                <w:szCs w:val="20"/>
                <w:highlight w:val="green"/>
              </w:rPr>
            </w:pPr>
            <w:r>
              <w:rPr>
                <w:rFonts w:hint="eastAsia" w:ascii="宋体" w:hAnsi="宋体"/>
                <w:color w:val="000000"/>
                <w:sz w:val="20"/>
                <w:szCs w:val="20"/>
              </w:rPr>
              <w:t>外包过程有：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highlight w:val="green"/>
              </w:rPr>
            </w:pPr>
            <w:r>
              <w:rPr>
                <w:rFonts w:hint="eastAsia" w:ascii="宋体" w:hAnsi="宋体"/>
                <w:color w:val="000000"/>
                <w:sz w:val="20"/>
                <w:szCs w:val="20"/>
              </w:rPr>
              <w:t>是否明确了外包过程无的控制方法：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spacing w:line="400" w:lineRule="exact"/>
              <w:rPr>
                <w:rFonts w:hint="eastAsia" w:ascii="宋体" w:hAnsi="宋体" w:eastAsia="宋体" w:cs="宋体"/>
                <w:szCs w:val="21"/>
                <w:highlight w:val="green"/>
                <w:lang w:eastAsia="zh-CN"/>
              </w:rPr>
            </w:pPr>
            <w:r>
              <w:rPr>
                <w:rFonts w:hint="eastAsia" w:ascii="宋体" w:hAnsi="宋体"/>
                <w:color w:val="000000"/>
                <w:spacing w:val="-10"/>
                <w:sz w:val="20"/>
                <w:szCs w:val="20"/>
              </w:rPr>
              <w:t>主要设备：</w:t>
            </w:r>
            <w:r>
              <w:rPr>
                <w:rFonts w:hint="eastAsia" w:ascii="宋体" w:hAnsi="宋体"/>
              </w:rPr>
              <w:t>搅拌罐、配料罐、生产线等</w:t>
            </w:r>
            <w:r>
              <w:rPr>
                <w:rFonts w:hint="eastAsia" w:ascii="宋体" w:hAnsi="宋体" w:cs="宋体"/>
                <w:szCs w:val="21"/>
                <w:highlight w:val="none"/>
                <w:lang w:val="en-US" w:eastAsia="zh-CN"/>
              </w:rPr>
              <w:t>和电脑及</w:t>
            </w:r>
            <w:r>
              <w:rPr>
                <w:rFonts w:hint="eastAsia" w:ascii="宋体" w:hAnsi="宋体" w:cs="宋体"/>
                <w:szCs w:val="21"/>
                <w:highlight w:val="none"/>
              </w:rPr>
              <w:t>办公设备等</w:t>
            </w:r>
            <w:r>
              <w:rPr>
                <w:rFonts w:hint="eastAsia" w:ascii="宋体" w:hAnsi="宋体" w:cs="宋体"/>
                <w:szCs w:val="21"/>
                <w:highlight w:val="none"/>
                <w:lang w:eastAsia="zh-CN"/>
              </w:rPr>
              <w:t>。</w:t>
            </w:r>
          </w:p>
          <w:p>
            <w:pPr>
              <w:spacing w:line="400" w:lineRule="exact"/>
              <w:rPr>
                <w:rFonts w:ascii="宋体"/>
                <w:color w:val="000000"/>
                <w:spacing w:val="-10"/>
                <w:sz w:val="20"/>
                <w:szCs w:val="20"/>
              </w:rPr>
            </w:pPr>
            <w:bookmarkStart w:id="25" w:name="_GoBack"/>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ascii="宋体" w:hAnsi="宋体"/>
                <w:color w:val="000000"/>
                <w:sz w:val="20"/>
                <w:szCs w:val="20"/>
              </w:rPr>
              <w:t xml:space="preserve">                 </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spacing w:line="400" w:lineRule="exact"/>
              <w:rPr>
                <w:rFonts w:hint="default" w:ascii="宋体" w:hAnsi="宋体"/>
                <w:szCs w:val="21"/>
                <w:highlight w:val="none"/>
                <w:lang w:val="en-US" w:eastAsia="zh-CN"/>
              </w:rPr>
            </w:pPr>
            <w:r>
              <w:rPr>
                <w:rFonts w:hint="eastAsia" w:ascii="宋体" w:hAnsi="宋体"/>
                <w:color w:val="000000"/>
                <w:sz w:val="20"/>
                <w:szCs w:val="20"/>
                <w:highlight w:val="none"/>
              </w:rPr>
              <w:t>特种设备：</w:t>
            </w:r>
            <w:r>
              <w:rPr>
                <w:rFonts w:hint="eastAsia" w:ascii="宋体" w:hAnsi="宋体"/>
                <w:highlight w:val="none"/>
                <w:lang w:val="en-US" w:eastAsia="zh-CN"/>
              </w:rPr>
              <w:t>锅炉1台（燃料：天然气、导热油锅炉）</w:t>
            </w:r>
            <w:r>
              <w:rPr>
                <w:rFonts w:hint="eastAsia" w:ascii="宋体" w:hAnsi="宋体"/>
                <w:szCs w:val="21"/>
                <w:highlight w:val="none"/>
                <w:lang w:val="en-US" w:eastAsia="zh-CN"/>
              </w:rPr>
              <w:t>、叉车2台</w:t>
            </w:r>
          </w:p>
          <w:p>
            <w:pPr>
              <w:rPr>
                <w:rFonts w:ascii="宋体"/>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highlight w:val="none"/>
              </w:rPr>
            </w:pPr>
            <w:r>
              <w:rPr>
                <w:rFonts w:hint="eastAsia" w:ascii="宋体" w:hAnsi="宋体"/>
                <w:color w:val="000000"/>
                <w:sz w:val="20"/>
                <w:szCs w:val="20"/>
                <w:highlight w:val="none"/>
              </w:rPr>
              <w:t>特种设备是否按规定检定</w:t>
            </w:r>
            <w:r>
              <w:rPr>
                <w:rFonts w:ascii="宋体" w:hAnsi="宋体"/>
                <w:color w:val="000000"/>
                <w:sz w:val="20"/>
                <w:szCs w:val="20"/>
                <w:highlight w:val="none"/>
              </w:rPr>
              <w:t xml:space="preserve">           </w:t>
            </w:r>
            <w:r>
              <w:rPr>
                <w:rFonts w:hint="eastAsia" w:ascii="宋体" w:hAnsi="宋体"/>
                <w:color w:val="000000"/>
                <w:sz w:val="20"/>
                <w:szCs w:val="20"/>
                <w:highlight w:val="none"/>
                <w:lang w:eastAsia="zh-CN"/>
              </w:rPr>
              <w:t>■</w:t>
            </w:r>
            <w:r>
              <w:rPr>
                <w:rFonts w:hint="eastAsia" w:ascii="宋体" w:hAnsi="宋体"/>
                <w:color w:val="000000"/>
                <w:sz w:val="20"/>
                <w:szCs w:val="20"/>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监视和测量设备（请简述主要监视和测量设备）：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ascii="宋体"/>
                <w:color w:val="000000"/>
                <w:sz w:val="20"/>
                <w:szCs w:val="20"/>
              </w:rPr>
              <w:t xml:space="preserve">              </w:t>
            </w:r>
            <w:r>
              <w:rPr>
                <w:rFonts w:hint="eastAsia" w:ascii="宋体"/>
                <w:color w:val="000000"/>
                <w:sz w:val="20"/>
                <w:szCs w:val="20"/>
              </w:rPr>
              <w:t>□是</w:t>
            </w:r>
            <w:r>
              <w:rPr>
                <w:rFonts w:ascii="宋体"/>
                <w:color w:val="000000"/>
                <w:sz w:val="20"/>
                <w:szCs w:val="20"/>
              </w:rPr>
              <w:t xml:space="preserve"> </w:t>
            </w:r>
            <w:r>
              <w:rPr>
                <w:rFonts w:hint="eastAsia" w:asci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color w:val="000000"/>
                <w:sz w:val="20"/>
                <w:szCs w:val="20"/>
                <w:lang w:val="en-US" w:eastAsia="zh-CN"/>
              </w:rPr>
              <w:t>无</w:t>
            </w:r>
            <w:r>
              <w:rPr>
                <w:rFonts w:hint="eastAsia" w:ascii="宋体"/>
                <w:color w:val="000000"/>
                <w:sz w:val="20"/>
                <w:szCs w:val="20"/>
              </w:rPr>
              <w:t>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tabs>
                <w:tab w:val="left" w:pos="1080"/>
              </w:tabs>
              <w:spacing w:line="400" w:lineRule="exact"/>
              <w:ind w:firstLine="200" w:firstLineChars="100"/>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ascii="宋体"/>
                <w:color w:val="000000"/>
                <w:sz w:val="20"/>
                <w:szCs w:val="20"/>
              </w:rPr>
              <w:t xml:space="preserve">  </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color w:val="000000"/>
                <w:sz w:val="20"/>
                <w:szCs w:val="20"/>
                <w:lang w:eastAsia="zh-CN"/>
              </w:rPr>
              <w:t>□</w:t>
            </w:r>
            <w:r>
              <w:rPr>
                <w:rFonts w:hint="eastAsia" w:ascii="宋体"/>
                <w:color w:val="000000"/>
                <w:sz w:val="20"/>
                <w:szCs w:val="20"/>
              </w:rPr>
              <w:t>是□否</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r>
              <w:rPr>
                <w:rFonts w:hint="eastAsia" w:ascii="Times New Roman" w:hAnsi="Times New Roman" w:eastAsia="宋体" w:cs="Times New Roman"/>
                <w:color w:val="auto"/>
                <w:kern w:val="2"/>
                <w:sz w:val="21"/>
                <w:szCs w:val="22"/>
                <w:lang w:val="en-US" w:eastAsia="zh-CN" w:bidi="ar-SA"/>
              </w:rPr>
              <w:t>1）火灾；2）触电；3）机械伤害；4）</w:t>
            </w:r>
            <w:r>
              <w:rPr>
                <w:rFonts w:hint="eastAsia" w:ascii="Times New Roman" w:hAnsi="Times New Roman" w:cs="Times New Roman"/>
                <w:color w:val="auto"/>
                <w:kern w:val="2"/>
                <w:sz w:val="21"/>
                <w:szCs w:val="22"/>
                <w:lang w:val="en-US" w:eastAsia="zh-CN" w:bidi="ar-SA"/>
              </w:rPr>
              <w:t>烫伤；5）中毒；6）交通伤害</w:t>
            </w:r>
            <w:r>
              <w:rPr>
                <w:rFonts w:hint="eastAsia" w:ascii="Times New Roman" w:hAnsi="Times New Roman" w:eastAsia="宋体" w:cs="Times New Roman"/>
                <w:color w:val="auto"/>
                <w:kern w:val="2"/>
                <w:sz w:val="21"/>
                <w:szCs w:val="22"/>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针对不可接受风险建立了运行控制程序：有（1）危险源和环境因素辩识、评价和控制程序；（2）运行控制程序。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针对不可接受风险是否明确了监视和测量的要求：有：监视和测量管理程序。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color w:val="000000"/>
                <w:sz w:val="20"/>
                <w:szCs w:val="20"/>
              </w:rPr>
              <w:t>■是□否，识别是否充分</w:t>
            </w:r>
            <w:r>
              <w:rPr>
                <w:rFonts w:ascii="宋体"/>
                <w:color w:val="000000"/>
                <w:sz w:val="20"/>
                <w:szCs w:val="20"/>
              </w:rPr>
              <w:t xml:space="preserve"> </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tabs>
                <w:tab w:val="right" w:pos="9263"/>
              </w:tabs>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color w:val="000000"/>
                <w:sz w:val="20"/>
                <w:szCs w:val="20"/>
              </w:rPr>
              <w:t>■是□否□充分□需完善</w:t>
            </w:r>
            <w:r>
              <w:rPr>
                <w:rFonts w:hint="eastAsia" w:ascii="宋体"/>
                <w:color w:val="000000"/>
                <w:sz w:val="20"/>
                <w:szCs w:val="20"/>
              </w:rPr>
              <w:tab/>
            </w:r>
          </w:p>
        </w:tc>
      </w:tr>
    </w:tbl>
    <w:p>
      <w:pPr>
        <w:spacing w:beforeLines="50"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ascii="宋体"/>
                <w:color w:val="000000"/>
                <w:sz w:val="20"/>
                <w:szCs w:val="20"/>
                <w:u w:val="single"/>
              </w:rPr>
              <w:t xml:space="preserve"> </w:t>
            </w:r>
            <w:r>
              <w:rPr>
                <w:rFonts w:hint="eastAsia" w:ascii="宋体"/>
                <w:color w:val="000000"/>
                <w:sz w:val="20"/>
                <w:szCs w:val="20"/>
                <w:u w:val="single"/>
                <w:lang w:val="en-US" w:eastAsia="zh-CN"/>
              </w:rPr>
              <w:t>63</w:t>
            </w:r>
            <w:r>
              <w:rPr>
                <w:rFonts w:ascii="宋体"/>
                <w:color w:val="000000"/>
                <w:sz w:val="20"/>
                <w:szCs w:val="20"/>
                <w:u w:val="single"/>
              </w:rPr>
              <w:t xml:space="preserve"> </w:t>
            </w:r>
            <w:r>
              <w:rPr>
                <w:rFonts w:hint="eastAsia" w:ascii="宋体"/>
                <w:color w:val="000000"/>
                <w:sz w:val="20"/>
                <w:szCs w:val="20"/>
              </w:rPr>
              <w:t>人，其中管理人员：</w:t>
            </w:r>
            <w:r>
              <w:rPr>
                <w:rFonts w:hint="eastAsia" w:ascii="宋体"/>
                <w:color w:val="000000"/>
                <w:sz w:val="20"/>
                <w:szCs w:val="20"/>
                <w:u w:val="single"/>
                <w:lang w:val="en-US" w:eastAsia="zh-CN"/>
              </w:rPr>
              <w:t>8</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ascii="宋体"/>
                <w:b/>
                <w:color w:val="000000"/>
                <w:szCs w:val="21"/>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color w:val="000000"/>
                <w:sz w:val="20"/>
                <w:szCs w:val="20"/>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ascii="宋体"/>
                <w:b/>
                <w:color w:val="000000"/>
                <w:szCs w:val="21"/>
              </w:rPr>
              <w:t xml:space="preserve">      </w:t>
            </w:r>
            <w:r>
              <w:rPr>
                <w:rFonts w:hint="eastAsia" w:ascii="宋体" w:hAnsi="宋体"/>
                <w:b/>
                <w:color w:val="000000"/>
                <w:szCs w:val="21"/>
              </w:rPr>
              <w:t>□</w:t>
            </w:r>
            <w:r>
              <w:rPr>
                <w:rFonts w:hint="eastAsia" w:ascii="宋体"/>
                <w:b/>
                <w:color w:val="000000"/>
                <w:szCs w:val="21"/>
              </w:rPr>
              <w:t>增加技术专家</w:t>
            </w:r>
            <w:r>
              <w:rPr>
                <w:rFonts w:ascii="宋体"/>
                <w:b/>
                <w:color w:val="000000"/>
                <w:szCs w:val="21"/>
              </w:rPr>
              <w:t xml:space="preserve">   </w:t>
            </w:r>
            <w:r>
              <w:rPr>
                <w:rFonts w:hint="eastAsia" w:ascii="宋体" w:hAnsi="宋体"/>
                <w:b/>
                <w:color w:val="000000"/>
                <w:szCs w:val="21"/>
              </w:rPr>
              <w:t>□</w:t>
            </w:r>
            <w:r>
              <w:rPr>
                <w:rFonts w:hint="eastAsia" w:ascii="宋体"/>
                <w:b/>
                <w:color w:val="000000"/>
                <w:szCs w:val="21"/>
              </w:rPr>
              <w:t>增加审核人日</w:t>
            </w:r>
          </w:p>
        </w:tc>
      </w:tr>
    </w:tbl>
    <w:p>
      <w:pPr>
        <w:spacing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400" w:lineRule="exact"/>
              <w:rPr>
                <w:rFonts w:ascii="宋体"/>
                <w:b/>
                <w:color w:val="000000"/>
                <w:sz w:val="20"/>
                <w:szCs w:val="20"/>
              </w:rPr>
            </w:pPr>
            <w:r>
              <w:rPr>
                <w:rFonts w:hint="eastAsia" w:ascii="宋体" w:hAnsi="宋体"/>
                <w:b/>
                <w:color w:val="000000"/>
                <w:sz w:val="20"/>
                <w:szCs w:val="20"/>
              </w:rPr>
              <w:t>重点审核过程：</w:t>
            </w:r>
          </w:p>
          <w:p>
            <w:pPr>
              <w:spacing w:line="360" w:lineRule="auto"/>
              <w:rPr>
                <w:rFonts w:ascii="宋体"/>
                <w:b/>
                <w:color w:val="000000"/>
                <w:sz w:val="20"/>
                <w:szCs w:val="20"/>
              </w:rPr>
            </w:pPr>
            <w:r>
              <w:rPr>
                <w:rFonts w:hint="eastAsia" w:ascii="宋体" w:hAnsi="宋体"/>
                <w:b/>
                <w:color w:val="000000"/>
                <w:sz w:val="20"/>
                <w:szCs w:val="20"/>
              </w:rPr>
              <w:t>重点审核场所：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eastAsia="宋体" w:cs="Times New Roman"/>
                <w:b/>
                <w:color w:val="000000"/>
                <w:sz w:val="20"/>
                <w:szCs w:val="20"/>
                <w:lang w:val="en-US" w:eastAsia="zh-CN"/>
              </w:rPr>
              <w:t>行政部、生产部 、技术质量部、采购部、销售部。</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办公场所、生产场所</w:t>
            </w:r>
            <w:r>
              <w:rPr>
                <w:rFonts w:hint="eastAsia" w:ascii="宋体" w:hAnsi="宋体"/>
                <w:b/>
                <w:color w:val="000000"/>
                <w:sz w:val="20"/>
                <w:szCs w:val="20"/>
              </w:rPr>
              <w:t>。</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400" w:lineRule="exact"/>
              <w:rPr>
                <w:szCs w:val="21"/>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Cs w:val="21"/>
              </w:rPr>
              <w:t>建立有《内部审核管理制度》，于</w:t>
            </w:r>
            <w:r>
              <w:rPr>
                <w:rFonts w:hint="eastAsia" w:ascii="宋体" w:hAnsi="宋体"/>
                <w:szCs w:val="21"/>
              </w:rPr>
              <w:t>20</w:t>
            </w:r>
            <w:r>
              <w:rPr>
                <w:rFonts w:hint="eastAsia" w:ascii="宋体" w:hAnsi="宋体"/>
                <w:szCs w:val="21"/>
                <w:lang w:val="en-US" w:eastAsia="zh-CN"/>
              </w:rPr>
              <w:t>21</w:t>
            </w:r>
            <w:r>
              <w:rPr>
                <w:rFonts w:hint="eastAsia" w:ascii="宋体" w:hAnsi="宋体"/>
                <w:szCs w:val="21"/>
              </w:rPr>
              <w:t>年</w:t>
            </w:r>
            <w:r>
              <w:rPr>
                <w:rFonts w:hint="eastAsia" w:ascii="宋体" w:hAnsi="宋体"/>
                <w:szCs w:val="21"/>
                <w:lang w:val="en-US" w:eastAsia="zh-CN"/>
              </w:rPr>
              <w:t>2</w:t>
            </w:r>
            <w:r>
              <w:rPr>
                <w:rFonts w:hint="eastAsia" w:ascii="宋体" w:hAnsi="宋体"/>
                <w:szCs w:val="21"/>
              </w:rPr>
              <w:t>月</w:t>
            </w:r>
            <w:r>
              <w:rPr>
                <w:rFonts w:hint="eastAsia" w:ascii="宋体" w:hAnsi="宋体"/>
                <w:szCs w:val="21"/>
                <w:lang w:val="en-US" w:eastAsia="zh-CN"/>
              </w:rPr>
              <w:t>6</w:t>
            </w:r>
            <w:r>
              <w:rPr>
                <w:rFonts w:hint="eastAsia" w:ascii="宋体" w:hAnsi="宋体"/>
                <w:szCs w:val="21"/>
              </w:rPr>
              <w:t>日</w:t>
            </w:r>
            <w:r>
              <w:rPr>
                <w:rFonts w:hint="eastAsia" w:ascii="宋体" w:hAnsi="宋体"/>
                <w:szCs w:val="21"/>
                <w:lang w:val="en-US" w:eastAsia="zh-CN"/>
              </w:rPr>
              <w:t>-7日</w:t>
            </w:r>
            <w:r>
              <w:rPr>
                <w:rFonts w:hint="eastAsia"/>
                <w:szCs w:val="21"/>
              </w:rPr>
              <w:t>进行了内部审核。</w:t>
            </w:r>
          </w:p>
          <w:p>
            <w:pPr>
              <w:spacing w:line="400" w:lineRule="exact"/>
              <w:rPr>
                <w:rFonts w:ascii="宋体"/>
                <w:b/>
                <w:color w:val="000000"/>
                <w:sz w:val="20"/>
                <w:szCs w:val="20"/>
              </w:rPr>
            </w:pPr>
            <w:r>
              <w:rPr>
                <w:rFonts w:hint="eastAsia"/>
                <w:szCs w:val="21"/>
              </w:rPr>
              <w:t>内部审核组由：</w:t>
            </w:r>
            <w:r>
              <w:rPr>
                <w:rFonts w:hint="eastAsia" w:ascii="宋体" w:hAnsi="宋体"/>
                <w:szCs w:val="21"/>
              </w:rPr>
              <w:t>曹钟（组长）、胡玲（组员）</w:t>
            </w:r>
            <w:r>
              <w:rPr>
                <w:rFonts w:hint="eastAsia"/>
                <w:szCs w:val="21"/>
              </w:rPr>
              <w:t>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34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numPr>
                <w:ilvl w:val="0"/>
                <w:numId w:val="1"/>
              </w:numPr>
              <w:spacing w:line="340" w:lineRule="exact"/>
              <w:rPr>
                <w:rFonts w:ascii="仿宋" w:hAnsi="仿宋" w:eastAsia="仿宋"/>
                <w:sz w:val="24"/>
              </w:rPr>
            </w:pPr>
            <w:r>
              <w:rPr>
                <w:rFonts w:ascii="仿宋" w:hAnsi="仿宋" w:eastAsia="仿宋"/>
                <w:sz w:val="24"/>
              </w:rPr>
              <w:t>审核范围:</w:t>
            </w:r>
            <w:r>
              <w:rPr>
                <w:rFonts w:hint="eastAsia" w:ascii="仿宋" w:hAnsi="仿宋" w:eastAsia="仿宋"/>
                <w:sz w:val="24"/>
              </w:rPr>
              <w:t>管理体系</w:t>
            </w:r>
            <w:r>
              <w:rPr>
                <w:rFonts w:ascii="仿宋" w:hAnsi="仿宋" w:eastAsia="仿宋"/>
                <w:sz w:val="24"/>
              </w:rPr>
              <w:t>涉及的</w:t>
            </w:r>
            <w:r>
              <w:rPr>
                <w:rFonts w:hint="eastAsia" w:ascii="仿宋" w:hAnsi="仿宋" w:eastAsia="仿宋"/>
                <w:sz w:val="24"/>
              </w:rPr>
              <w:t>公司</w:t>
            </w:r>
            <w:r>
              <w:rPr>
                <w:rFonts w:ascii="仿宋" w:hAnsi="仿宋" w:eastAsia="仿宋"/>
                <w:sz w:val="24"/>
              </w:rPr>
              <w:t>所有部门</w:t>
            </w:r>
            <w:r>
              <w:rPr>
                <w:rFonts w:hint="eastAsia" w:ascii="仿宋" w:hAnsi="仿宋" w:eastAsia="仿宋"/>
                <w:sz w:val="24"/>
              </w:rPr>
              <w:t>、服务场所</w:t>
            </w:r>
            <w:r>
              <w:rPr>
                <w:rFonts w:ascii="仿宋" w:hAnsi="仿宋" w:eastAsia="仿宋"/>
                <w:sz w:val="24"/>
              </w:rPr>
              <w:t>及</w:t>
            </w:r>
            <w:r>
              <w:rPr>
                <w:rFonts w:hint="eastAsia" w:ascii="仿宋" w:hAnsi="仿宋" w:eastAsia="仿宋"/>
                <w:sz w:val="24"/>
              </w:rPr>
              <w:t>活动场所</w:t>
            </w:r>
            <w:r>
              <w:rPr>
                <w:rFonts w:ascii="仿宋" w:hAnsi="仿宋" w:eastAsia="仿宋"/>
                <w:sz w:val="24"/>
              </w:rPr>
              <w:t>。</w:t>
            </w:r>
          </w:p>
          <w:p>
            <w:pPr>
              <w:numPr>
                <w:ilvl w:val="0"/>
                <w:numId w:val="1"/>
              </w:numPr>
              <w:spacing w:line="340" w:lineRule="exact"/>
              <w:rPr>
                <w:rFonts w:ascii="仿宋" w:hAnsi="仿宋" w:eastAsia="仿宋"/>
                <w:sz w:val="24"/>
              </w:rPr>
            </w:pPr>
            <w:r>
              <w:rPr>
                <w:rFonts w:ascii="仿宋" w:hAnsi="仿宋" w:eastAsia="仿宋"/>
                <w:sz w:val="24"/>
              </w:rPr>
              <w:t>审核准则：</w:t>
            </w:r>
            <w:r>
              <w:rPr>
                <w:rFonts w:hint="eastAsia" w:ascii="仿宋" w:hAnsi="仿宋" w:eastAsia="仿宋"/>
                <w:sz w:val="24"/>
              </w:rPr>
              <w:t>a.</w:t>
            </w:r>
            <w:r>
              <w:rPr>
                <w:rFonts w:hint="eastAsia" w:ascii="仿宋" w:hAnsi="仿宋" w:eastAsia="仿宋" w:cs="Times New Roman"/>
                <w:sz w:val="24"/>
                <w:lang w:val="en-US" w:eastAsia="zh-CN"/>
              </w:rPr>
              <w:t>ISO45001:2018</w:t>
            </w:r>
            <w:r>
              <w:rPr>
                <w:rFonts w:hint="eastAsia" w:ascii="仿宋" w:hAnsi="仿宋" w:eastAsia="仿宋" w:cs="Times New Roman"/>
                <w:sz w:val="24"/>
              </w:rPr>
              <w:t>标准；</w:t>
            </w:r>
            <w:r>
              <w:rPr>
                <w:rFonts w:hint="eastAsia" w:ascii="仿宋" w:hAnsi="仿宋" w:eastAsia="仿宋"/>
                <w:sz w:val="24"/>
              </w:rPr>
              <w:t xml:space="preserve"> b.</w:t>
            </w:r>
            <w:r>
              <w:rPr>
                <w:rFonts w:ascii="仿宋" w:hAnsi="仿宋" w:eastAsia="仿宋"/>
                <w:sz w:val="24"/>
              </w:rPr>
              <w:t>本公司管理体系文</w:t>
            </w:r>
            <w:r>
              <w:rPr>
                <w:rFonts w:hint="eastAsia" w:ascii="仿宋" w:hAnsi="仿宋" w:eastAsia="仿宋"/>
                <w:sz w:val="24"/>
              </w:rPr>
              <w:t xml:space="preserve"> </w:t>
            </w:r>
            <w:r>
              <w:rPr>
                <w:rFonts w:ascii="仿宋" w:hAnsi="仿宋" w:eastAsia="仿宋"/>
                <w:sz w:val="24"/>
              </w:rPr>
              <w:t>件；</w:t>
            </w:r>
            <w:r>
              <w:rPr>
                <w:rFonts w:hint="eastAsia" w:ascii="仿宋" w:hAnsi="仿宋" w:eastAsia="仿宋"/>
                <w:sz w:val="24"/>
              </w:rPr>
              <w:t>c.</w:t>
            </w:r>
            <w:r>
              <w:rPr>
                <w:rFonts w:ascii="仿宋" w:hAnsi="仿宋" w:eastAsia="仿宋"/>
                <w:sz w:val="24"/>
              </w:rPr>
              <w:t>相关的法律法规；</w:t>
            </w:r>
            <w:r>
              <w:rPr>
                <w:rFonts w:hint="eastAsia" w:ascii="仿宋" w:hAnsi="仿宋" w:eastAsia="仿宋"/>
                <w:sz w:val="24"/>
              </w:rPr>
              <w:t xml:space="preserve"> d.顾客及</w:t>
            </w:r>
            <w:r>
              <w:rPr>
                <w:rFonts w:ascii="仿宋" w:hAnsi="仿宋" w:eastAsia="仿宋"/>
                <w:sz w:val="24"/>
              </w:rPr>
              <w:t>相关方要求</w:t>
            </w:r>
            <w:r>
              <w:rPr>
                <w:rFonts w:hint="eastAsia" w:ascii="仿宋" w:hAnsi="仿宋" w:eastAsia="仿宋"/>
                <w:sz w:val="24"/>
              </w:rPr>
              <w:t>等</w:t>
            </w:r>
            <w:r>
              <w:rPr>
                <w:rFonts w:ascii="仿宋" w:hAnsi="仿宋" w:eastAsia="仿宋"/>
                <w:sz w:val="24"/>
              </w:rPr>
              <w:t>。</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tabs>
                <w:tab w:val="right" w:pos="9332"/>
              </w:tabs>
              <w:spacing w:line="400" w:lineRule="exact"/>
              <w:ind w:firstLine="378" w:firstLineChars="200"/>
              <w:rPr>
                <w:rFonts w:ascii="宋体" w:hAnsi="宋体" w:cs="宋体"/>
                <w:w w:val="90"/>
                <w:szCs w:val="21"/>
              </w:rPr>
            </w:pPr>
            <w:r>
              <w:rPr>
                <w:rFonts w:hint="eastAsia" w:ascii="宋体" w:hAnsi="宋体" w:cs="宋体"/>
                <w:w w:val="90"/>
                <w:szCs w:val="21"/>
              </w:rPr>
              <w:t>本次内审</w:t>
            </w:r>
            <w:r>
              <w:rPr>
                <w:rFonts w:hint="eastAsia" w:ascii="宋体" w:hAnsi="宋体" w:cs="宋体"/>
                <w:w w:val="90"/>
                <w:szCs w:val="21"/>
                <w:lang w:val="en-US" w:eastAsia="zh-CN"/>
              </w:rPr>
              <w:t>ISO45001:2018</w:t>
            </w:r>
            <w:r>
              <w:rPr>
                <w:rFonts w:hint="eastAsia" w:ascii="宋体" w:hAnsi="宋体" w:cs="宋体"/>
                <w:w w:val="90"/>
                <w:szCs w:val="21"/>
              </w:rPr>
              <w:t>版标准体系文件管理手册、体系文件进行了全面检查，通过审核可以看出管理体系已基本进入了正常状态，但仍存在一些问题，需要完善现场作业及加强各类人员的培训。</w:t>
            </w:r>
          </w:p>
          <w:p>
            <w:pPr>
              <w:tabs>
                <w:tab w:val="right" w:pos="9332"/>
              </w:tabs>
              <w:spacing w:line="400" w:lineRule="exact"/>
              <w:ind w:firstLine="378" w:firstLineChars="200"/>
              <w:rPr>
                <w:rFonts w:ascii="宋体" w:hAnsi="宋体" w:cs="宋体"/>
                <w:w w:val="90"/>
                <w:szCs w:val="21"/>
              </w:rPr>
            </w:pPr>
            <w:r>
              <w:rPr>
                <w:rFonts w:hint="eastAsia" w:ascii="宋体" w:hAnsi="宋体" w:cs="宋体"/>
                <w:w w:val="90"/>
                <w:szCs w:val="21"/>
              </w:rPr>
              <w:t>各部门需要对内审开出的不符合项报告认真整改，并做到举一反三，以点带面，通过纠正预防措施的执行，使管理体系正常而有效运行。</w:t>
            </w:r>
          </w:p>
          <w:p>
            <w:pPr>
              <w:tabs>
                <w:tab w:val="right" w:pos="9332"/>
              </w:tabs>
              <w:spacing w:line="400" w:lineRule="exact"/>
              <w:ind w:left="420" w:leftChars="200"/>
              <w:rPr>
                <w:rFonts w:ascii="宋体" w:hAnsi="宋体" w:cs="宋体"/>
                <w:w w:val="90"/>
                <w:szCs w:val="21"/>
              </w:rPr>
            </w:pPr>
            <w:r>
              <w:rPr>
                <w:rFonts w:hint="eastAsia" w:ascii="宋体" w:hAnsi="宋体" w:cs="宋体"/>
                <w:w w:val="90"/>
                <w:szCs w:val="21"/>
              </w:rPr>
              <w:t>管理体系运行符合标准要求，实施基本有效，可以如期申请认证机构的正式审核。</w:t>
            </w:r>
          </w:p>
          <w:p>
            <w:pPr>
              <w:spacing w:line="260" w:lineRule="exact"/>
              <w:rPr>
                <w:rFonts w:ascii="宋体" w:hAns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建立有《管理评审控制程序》，于20</w:t>
            </w:r>
            <w:r>
              <w:rPr>
                <w:rFonts w:hint="eastAsia"/>
                <w:szCs w:val="21"/>
                <w:lang w:val="en-US" w:eastAsia="zh-CN"/>
              </w:rPr>
              <w:t>21</w:t>
            </w:r>
            <w:r>
              <w:rPr>
                <w:rFonts w:hint="eastAsia"/>
                <w:szCs w:val="21"/>
              </w:rPr>
              <w:t>年</w:t>
            </w:r>
            <w:r>
              <w:rPr>
                <w:rFonts w:hint="eastAsia"/>
                <w:szCs w:val="21"/>
                <w:lang w:val="en-US" w:eastAsia="zh-CN"/>
              </w:rPr>
              <w:t>2</w:t>
            </w:r>
            <w:r>
              <w:rPr>
                <w:rFonts w:hint="eastAsia"/>
                <w:szCs w:val="21"/>
              </w:rPr>
              <w:t>月</w:t>
            </w:r>
            <w:r>
              <w:rPr>
                <w:rFonts w:hint="eastAsia"/>
                <w:szCs w:val="21"/>
                <w:lang w:val="en-US" w:eastAsia="zh-CN"/>
              </w:rPr>
              <w:t>18</w:t>
            </w:r>
            <w:r>
              <w:rPr>
                <w:rFonts w:hint="eastAsia"/>
                <w:szCs w:val="21"/>
              </w:rPr>
              <w:t>日就管理方针和目标，评价和审定管理体系运行的适宜性、充分性和有效性进行了评审。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adjustRightInd w:val="0"/>
              <w:spacing w:line="400" w:lineRule="exact"/>
              <w:textAlignment w:val="baseline"/>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hint="default" w:ascii="宋体" w:eastAsia="宋体"/>
                <w:b/>
                <w:color w:val="000000"/>
                <w:sz w:val="20"/>
                <w:szCs w:val="20"/>
                <w:lang w:val="en-US" w:eastAsia="zh-CN"/>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val="en-US" w:eastAsia="zh-CN"/>
              </w:rPr>
              <w:t>做好准备</w:t>
            </w:r>
          </w:p>
          <w:p>
            <w:pPr>
              <w:widowControl/>
              <w:jc w:val="left"/>
              <w:rPr>
                <w:rFonts w:ascii="宋体"/>
                <w:b/>
                <w:color w:val="000000"/>
                <w:szCs w:val="21"/>
              </w:rPr>
            </w:pPr>
          </w:p>
        </w:tc>
      </w:tr>
    </w:tbl>
    <w:p>
      <w:pPr>
        <w:spacing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z w:val="20"/>
                <w:szCs w:val="20"/>
              </w:rPr>
              <w:t>□</w:t>
            </w:r>
            <w:r>
              <w:rPr>
                <w:rFonts w:ascii="宋体" w:hAnsi="宋体"/>
                <w:b/>
                <w:color w:val="000000"/>
                <w:sz w:val="20"/>
                <w:szCs w:val="20"/>
              </w:rPr>
              <w:t>QMS /</w:t>
            </w:r>
            <w:r>
              <w:rPr>
                <w:rFonts w:hint="eastAsia" w:ascii="宋体" w:hAnsi="宋体"/>
                <w:b/>
                <w:color w:val="000000"/>
                <w:sz w:val="20"/>
                <w:szCs w:val="20"/>
              </w:rPr>
              <w:t>□</w:t>
            </w:r>
            <w:r>
              <w:rPr>
                <w:rFonts w:ascii="宋体" w:hAnsi="宋体"/>
                <w:b/>
                <w:color w:val="000000"/>
                <w:sz w:val="20"/>
                <w:szCs w:val="20"/>
              </w:rPr>
              <w:t>EMS/</w:t>
            </w:r>
            <w:r>
              <w:rPr>
                <w:rFonts w:hint="eastAsia" w:ascii="宋体" w:hAnsi="宋体"/>
                <w:b/>
                <w:color w:val="000000"/>
                <w:sz w:val="20"/>
                <w:szCs w:val="20"/>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widowControl/>
        <w:jc w:val="left"/>
        <w:rPr>
          <w:b/>
        </w:rPr>
      </w:pPr>
      <w:r>
        <w:rPr>
          <w:rFonts w:ascii="宋体" w:hAnsi="宋体"/>
          <w:b/>
          <w:color w:val="000000"/>
          <w:sz w:val="20"/>
          <w:szCs w:val="20"/>
        </w:rPr>
        <w:t>QMS:</w:t>
      </w:r>
    </w:p>
    <w:p>
      <w:pPr>
        <w:widowControl/>
        <w:jc w:val="left"/>
        <w:rPr>
          <w:b/>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w:t>
      </w:r>
    </w:p>
    <w:p>
      <w:pPr>
        <w:spacing w:line="0" w:lineRule="atLeast"/>
        <w:jc w:val="left"/>
        <w:rPr>
          <w:rFonts w:ascii="宋体" w:hAnsi="宋体"/>
          <w:b/>
          <w:bCs/>
        </w:rPr>
      </w:pPr>
      <w:r>
        <w:rPr>
          <w:rFonts w:ascii="宋体" w:hAnsi="宋体"/>
          <w:b/>
          <w:color w:val="000000"/>
          <w:sz w:val="20"/>
          <w:szCs w:val="20"/>
        </w:rPr>
        <w:t>OHSMS</w:t>
      </w:r>
      <w:r>
        <w:rPr>
          <w:rFonts w:ascii="宋体" w:hAnsi="宋体"/>
          <w:b/>
          <w:color w:val="000000"/>
          <w:sz w:val="20"/>
          <w:szCs w:val="20"/>
          <w:lang w:val="en-GB"/>
        </w:rPr>
        <w:t>:</w:t>
      </w:r>
      <w:r>
        <w:rPr>
          <w:rFonts w:hint="eastAsia" w:ascii="宋体" w:hAnsi="宋体"/>
          <w:szCs w:val="21"/>
        </w:rPr>
        <w:t xml:space="preserve"> </w:t>
      </w:r>
      <w:r>
        <w:rPr>
          <w:rFonts w:hint="eastAsia" w:ascii="宋体" w:hAnsi="宋体"/>
          <w:b/>
          <w:bCs/>
          <w:szCs w:val="21"/>
        </w:rPr>
        <w:t>建筑防水卷材（石油沥青玻璃纤维胎防水卷材、自粘聚合物改性沥青防水卷材、弹性体改性沥青防水卷材）的生产所涉及场所的相关职业健康安全管理活动。</w:t>
      </w:r>
    </w:p>
    <w:p>
      <w:pPr>
        <w:spacing w:line="300" w:lineRule="auto"/>
        <w:ind w:firstLine="201" w:firstLineChars="100"/>
        <w:rPr>
          <w:rFonts w:ascii="宋体"/>
          <w:b/>
          <w:color w:val="000000"/>
          <w:sz w:val="20"/>
          <w:szCs w:val="20"/>
          <w:u w:val="single"/>
        </w:rPr>
      </w:pPr>
    </w:p>
    <w:p>
      <w:pPr>
        <w:spacing w:beforeLines="50" w:afterLines="20" w:line="360" w:lineRule="exact"/>
        <w:ind w:firstLine="210" w:firstLineChars="100"/>
        <w:rPr>
          <w:rFonts w:ascii="宋体"/>
          <w:b/>
          <w:bCs/>
          <w:color w:val="000000"/>
          <w:sz w:val="26"/>
          <w:szCs w:val="26"/>
        </w:rPr>
      </w:pPr>
      <w:r>
        <w:drawing>
          <wp:anchor distT="0" distB="0" distL="114300" distR="114300" simplePos="0" relativeHeight="251659264" behindDoc="0" locked="0" layoutInCell="1" allowOverlap="1">
            <wp:simplePos x="0" y="0"/>
            <wp:positionH relativeFrom="column">
              <wp:posOffset>1899285</wp:posOffset>
            </wp:positionH>
            <wp:positionV relativeFrom="paragraph">
              <wp:posOffset>353060</wp:posOffset>
            </wp:positionV>
            <wp:extent cx="419735" cy="386080"/>
            <wp:effectExtent l="0" t="0" r="6985" b="10160"/>
            <wp:wrapNone/>
            <wp:docPr id="1"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24309\Desktop\文平1.jpg"/>
                    <pic:cNvPicPr>
                      <a:picLocks noChangeAspect="1"/>
                    </pic:cNvPicPr>
                  </pic:nvPicPr>
                  <pic:blipFill>
                    <a:blip r:embed="rId6"/>
                    <a:stretch>
                      <a:fillRect/>
                    </a:stretch>
                  </pic:blipFill>
                  <pic:spPr>
                    <a:xfrm>
                      <a:off x="0" y="0"/>
                      <a:ext cx="419735" cy="386080"/>
                    </a:xfrm>
                    <a:prstGeom prst="rect">
                      <a:avLst/>
                    </a:prstGeom>
                    <a:noFill/>
                    <a:ln>
                      <a:noFill/>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hAnsi="宋体"/>
          <w:b/>
          <w:color w:val="000000"/>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80" w:firstLineChars="400"/>
        <w:rPr>
          <w:rFonts w:ascii="宋体"/>
          <w:b/>
          <w:bCs/>
          <w:color w:val="000000"/>
          <w:sz w:val="26"/>
          <w:szCs w:val="26"/>
        </w:rPr>
      </w:pPr>
      <w:r>
        <w:rPr>
          <w:rFonts w:hint="eastAsia" w:eastAsia="宋体"/>
          <w:sz w:val="22"/>
          <w:szCs w:val="22"/>
          <w:lang w:eastAsia="zh-CN"/>
        </w:rPr>
        <w:drawing>
          <wp:anchor distT="0" distB="0" distL="114300" distR="114300" simplePos="0" relativeHeight="251662336" behindDoc="0" locked="0" layoutInCell="1" allowOverlap="1">
            <wp:simplePos x="0" y="0"/>
            <wp:positionH relativeFrom="column">
              <wp:posOffset>2527300</wp:posOffset>
            </wp:positionH>
            <wp:positionV relativeFrom="paragraph">
              <wp:posOffset>251460</wp:posOffset>
            </wp:positionV>
            <wp:extent cx="683260" cy="313055"/>
            <wp:effectExtent l="0" t="0" r="2540" b="6985"/>
            <wp:wrapNone/>
            <wp:docPr id="47" name="图片 47" descr="db7549722dc648fcefdc1e41a795c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db7549722dc648fcefdc1e41a795c7d"/>
                    <pic:cNvPicPr>
                      <a:picLocks noChangeAspect="1"/>
                    </pic:cNvPicPr>
                  </pic:nvPicPr>
                  <pic:blipFill>
                    <a:blip r:embed="rId7"/>
                    <a:srcRect l="12415" t="25477" r="14202" b="23707"/>
                    <a:stretch>
                      <a:fillRect/>
                    </a:stretch>
                  </pic:blipFill>
                  <pic:spPr>
                    <a:xfrm>
                      <a:off x="1094105" y="1601470"/>
                      <a:ext cx="683260" cy="313055"/>
                    </a:xfrm>
                    <a:prstGeom prst="rect">
                      <a:avLst/>
                    </a:prstGeom>
                  </pic:spPr>
                </pic:pic>
              </a:graphicData>
            </a:graphic>
          </wp:anchor>
        </w:drawing>
      </w:r>
      <w:r>
        <w:rPr>
          <w:sz w:val="21"/>
          <w:szCs w:val="21"/>
        </w:rPr>
        <w:drawing>
          <wp:anchor distT="0" distB="0" distL="114300" distR="114300" simplePos="0" relativeHeight="251661312" behindDoc="0" locked="0" layoutInCell="1" allowOverlap="1">
            <wp:simplePos x="0" y="0"/>
            <wp:positionH relativeFrom="column">
              <wp:posOffset>1767840</wp:posOffset>
            </wp:positionH>
            <wp:positionV relativeFrom="paragraph">
              <wp:posOffset>204470</wp:posOffset>
            </wp:positionV>
            <wp:extent cx="666750" cy="351155"/>
            <wp:effectExtent l="0" t="0" r="3810" b="14605"/>
            <wp:wrapNone/>
            <wp:docPr id="3" name="图片 44" descr="33859f7b23be332fba6360c433f1d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4" descr="33859f7b23be332fba6360c433f1d60"/>
                    <pic:cNvPicPr>
                      <a:picLocks noChangeAspect="1"/>
                    </pic:cNvPicPr>
                  </pic:nvPicPr>
                  <pic:blipFill>
                    <a:blip r:embed="rId8"/>
                    <a:stretch>
                      <a:fillRect/>
                    </a:stretch>
                  </pic:blipFill>
                  <pic:spPr>
                    <a:xfrm>
                      <a:off x="0" y="0"/>
                      <a:ext cx="666750" cy="351155"/>
                    </a:xfrm>
                    <a:prstGeom prst="rect">
                      <a:avLst/>
                    </a:prstGeom>
                    <a:noFill/>
                    <a:ln>
                      <a:noFill/>
                    </a:ln>
                  </pic:spPr>
                </pic:pic>
              </a:graphicData>
            </a:graphic>
          </wp:anchor>
        </w:drawing>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2021.3.29</w:t>
      </w:r>
      <w:r>
        <w:rPr>
          <w:rFonts w:ascii="宋体" w:hAnsi="宋体"/>
          <w:b/>
          <w:color w:val="000000"/>
        </w:rPr>
        <w:t xml:space="preserve"> </w:t>
      </w:r>
    </w:p>
    <w:p>
      <w:pPr>
        <w:tabs>
          <w:tab w:val="left" w:pos="645"/>
        </w:tabs>
        <w:spacing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Lines="50"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p>
    <w:p>
      <w:pPr>
        <w:snapToGrid w:val="0"/>
        <w:spacing w:line="400" w:lineRule="exact"/>
        <w:rPr>
          <w:rFonts w:hint="eastAsia" w:eastAsia="隶书"/>
          <w:color w:val="000000"/>
          <w:szCs w:val="21"/>
        </w:rPr>
      </w:pPr>
    </w:p>
    <w:p>
      <w:pPr>
        <w:snapToGrid w:val="0"/>
        <w:spacing w:line="400" w:lineRule="exact"/>
        <w:rPr>
          <w:rFonts w:hint="eastAsia" w:eastAsia="隶书"/>
          <w:color w:val="000000"/>
          <w:szCs w:val="21"/>
        </w:rPr>
      </w:pPr>
    </w:p>
    <w:p>
      <w:pPr>
        <w:snapToGrid w:val="0"/>
        <w:spacing w:line="400" w:lineRule="exact"/>
        <w:rPr>
          <w:rFonts w:hint="eastAsia" w:eastAsia="隶书"/>
          <w:color w:val="000000"/>
          <w:szCs w:val="21"/>
        </w:rPr>
      </w:pPr>
    </w:p>
    <w:p>
      <w:pPr>
        <w:snapToGrid w:val="0"/>
        <w:spacing w:line="400" w:lineRule="exact"/>
        <w:rPr>
          <w:rFonts w:hint="eastAsia" w:eastAsia="隶书"/>
          <w:color w:val="000000"/>
          <w:szCs w:val="21"/>
        </w:rPr>
      </w:pPr>
    </w:p>
    <w:p>
      <w:pPr>
        <w:snapToGrid w:val="0"/>
        <w:spacing w:line="400" w:lineRule="exact"/>
        <w:rPr>
          <w:rFonts w:hint="eastAsia" w:eastAsia="隶书"/>
          <w:color w:val="000000"/>
          <w:szCs w:val="21"/>
        </w:rPr>
      </w:pPr>
    </w:p>
    <w:p>
      <w:pPr>
        <w:snapToGrid w:val="0"/>
        <w:spacing w:line="400" w:lineRule="exact"/>
        <w:rPr>
          <w:rFonts w:hint="eastAsia" w:eastAsia="隶书"/>
          <w:color w:val="000000"/>
          <w:szCs w:val="21"/>
        </w:rPr>
      </w:pPr>
    </w:p>
    <w:p>
      <w:pPr>
        <w:snapToGrid w:val="0"/>
        <w:spacing w:line="400" w:lineRule="exact"/>
        <w:rPr>
          <w:rFonts w:hint="eastAsia" w:eastAsia="隶书"/>
          <w:color w:val="000000"/>
          <w:szCs w:val="21"/>
        </w:rPr>
      </w:pPr>
    </w:p>
    <w:p>
      <w:pPr>
        <w:snapToGrid w:val="0"/>
        <w:spacing w:line="400" w:lineRule="exact"/>
        <w:rPr>
          <w:rFonts w:hint="eastAsia" w:eastAsia="隶书"/>
          <w:color w:val="000000"/>
          <w:szCs w:val="21"/>
        </w:rPr>
      </w:pPr>
    </w:p>
    <w:p>
      <w:pPr>
        <w:snapToGrid w:val="0"/>
        <w:spacing w:line="400" w:lineRule="exact"/>
        <w:rPr>
          <w:rFonts w:hint="eastAsia" w:eastAsia="隶书"/>
          <w:color w:val="000000"/>
          <w:szCs w:val="21"/>
        </w:rPr>
      </w:pPr>
    </w:p>
    <w:p>
      <w:pPr>
        <w:snapToGrid w:val="0"/>
        <w:spacing w:line="400" w:lineRule="exact"/>
        <w:rPr>
          <w:rFonts w:hint="eastAsia" w:eastAsia="隶书"/>
          <w:color w:val="000000"/>
          <w:szCs w:val="21"/>
        </w:rPr>
      </w:pPr>
    </w:p>
    <w:p>
      <w:pPr>
        <w:snapToGrid w:val="0"/>
        <w:spacing w:line="400" w:lineRule="exact"/>
        <w:rPr>
          <w:rFonts w:hint="eastAsia" w:eastAsia="隶书"/>
          <w:color w:val="000000"/>
          <w:szCs w:val="21"/>
        </w:rPr>
      </w:pP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w:t>
      </w:r>
      <w:r>
        <w:rPr>
          <w:rFonts w:hint="eastAsia" w:eastAsia="隶书" w:cs="Times New Roman"/>
          <w:color w:val="000000"/>
          <w:sz w:val="28"/>
          <w:szCs w:val="28"/>
        </w:rPr>
        <w:t>重庆市建新建筑防水材料厂</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rFonts w:hint="eastAsia" w:eastAsia="宋体"/>
                <w:color w:val="000000"/>
                <w:sz w:val="24"/>
                <w:szCs w:val="24"/>
                <w:lang w:val="en-US" w:eastAsia="zh-CN"/>
              </w:rPr>
            </w:pPr>
            <w:r>
              <w:rPr>
                <w:rFonts w:hint="eastAsia"/>
                <w:color w:val="000000"/>
                <w:sz w:val="24"/>
                <w:szCs w:val="24"/>
                <w:lang w:val="en-US" w:eastAsia="zh-CN"/>
              </w:rPr>
              <w:t>无</w:t>
            </w: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ind w:firstLine="2871" w:firstLineChars="1300"/>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 xml:space="preserve">受审核方确认：         </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 xml:space="preserve">     </w:t>
            </w:r>
            <w:r>
              <w:rPr>
                <w:rFonts w:hint="eastAsia"/>
                <w:b/>
                <w:color w:val="000000"/>
                <w:sz w:val="22"/>
                <w:szCs w:val="2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 xml:space="preserve">       </w:t>
            </w:r>
            <w:r>
              <w:rPr>
                <w:rFonts w:hint="eastAsia"/>
                <w:b/>
                <w:color w:val="000000"/>
                <w:sz w:val="22"/>
                <w:szCs w:val="2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CE3566"/>
    <w:multiLevelType w:val="singleLevel"/>
    <w:tmpl w:val="E0CE356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A872494"/>
    <w:rsid w:val="2B7510CB"/>
    <w:rsid w:val="35E46A5F"/>
    <w:rsid w:val="77505E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qFormat/>
    <w:locked/>
    <w:uiPriority w:val="99"/>
    <w:rPr>
      <w:rFonts w:ascii="Times New Roman" w:hAnsi="Times New Roman" w:eastAsia="宋体" w:cs="Times New Roman"/>
      <w:sz w:val="18"/>
      <w:szCs w:val="18"/>
    </w:rPr>
  </w:style>
  <w:style w:type="character" w:customStyle="1" w:styleId="11">
    <w:name w:val="页脚 字符"/>
    <w:link w:val="4"/>
    <w:qFormat/>
    <w:locked/>
    <w:uiPriority w:val="99"/>
    <w:rPr>
      <w:rFonts w:ascii="Times New Roman" w:hAnsi="Times New Roman" w:eastAsia="宋体" w:cs="Times New Roman"/>
      <w:sz w:val="18"/>
      <w:szCs w:val="18"/>
    </w:rPr>
  </w:style>
  <w:style w:type="character" w:customStyle="1" w:styleId="12">
    <w:name w:val="页眉 字符"/>
    <w:link w:val="5"/>
    <w:qFormat/>
    <w:locked/>
    <w:uiPriority w:val="99"/>
    <w:rPr>
      <w:rFonts w:ascii="Calibri" w:hAnsi="Calibri" w:eastAsia="宋体" w:cs="Times New Roman"/>
      <w:sz w:val="18"/>
      <w:szCs w:val="18"/>
    </w:rPr>
  </w:style>
  <w:style w:type="character" w:customStyle="1" w:styleId="13">
    <w:name w:val="副标题 字符"/>
    <w:link w:val="6"/>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TotalTime>
  <ScaleCrop>false</ScaleCrop>
  <LinksUpToDate>false</LinksUpToDate>
  <CharactersWithSpaces>6844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way一直都在</cp:lastModifiedBy>
  <dcterms:modified xsi:type="dcterms:W3CDTF">2021-04-07T07:56:02Z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5D7C0B1086C04B0CA172C1E51473FAAB</vt:lpwstr>
  </property>
</Properties>
</file>