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1155"/>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65"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55"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sz w:val="24"/>
                <w:szCs w:val="24"/>
                <w:lang w:val="en-US" w:eastAsia="zh-CN"/>
              </w:rPr>
            </w:pPr>
            <w:r>
              <w:rPr>
                <w:rFonts w:hint="eastAsia"/>
                <w:sz w:val="24"/>
                <w:szCs w:val="24"/>
              </w:rPr>
              <w:t>受审核部门：</w:t>
            </w:r>
            <w:r>
              <w:rPr>
                <w:rFonts w:hint="eastAsia"/>
                <w:sz w:val="24"/>
                <w:szCs w:val="24"/>
                <w:lang w:val="en-US" w:eastAsia="zh-CN"/>
              </w:rPr>
              <w:t xml:space="preserve">管理层/安全事务代表   </w:t>
            </w:r>
            <w:r>
              <w:rPr>
                <w:rFonts w:hAnsiTheme="minorEastAsia" w:eastAsiaTheme="minorEastAsia"/>
                <w:sz w:val="24"/>
                <w:szCs w:val="24"/>
              </w:rPr>
              <w:t>主管领导：</w:t>
            </w:r>
            <w:r>
              <w:rPr>
                <w:rFonts w:hint="eastAsia"/>
                <w:sz w:val="24"/>
                <w:szCs w:val="24"/>
                <w:lang w:val="en-US" w:eastAsia="zh-CN"/>
              </w:rPr>
              <w:t xml:space="preserve">杨胜华、刘涛、皮俊辉（安全事务代表）      </w:t>
            </w:r>
          </w:p>
          <w:p>
            <w:pPr>
              <w:rPr>
                <w:rFonts w:hint="default" w:eastAsia="宋体"/>
                <w:sz w:val="24"/>
                <w:szCs w:val="24"/>
                <w:lang w:val="en-US" w:eastAsia="zh-CN"/>
              </w:rPr>
            </w:pPr>
            <w:r>
              <w:rPr>
                <w:rFonts w:hint="eastAsia"/>
                <w:sz w:val="24"/>
                <w:szCs w:val="24"/>
              </w:rPr>
              <w:t>陪同人员：</w:t>
            </w:r>
            <w:r>
              <w:rPr>
                <w:rFonts w:hint="eastAsia"/>
                <w:sz w:val="24"/>
                <w:szCs w:val="24"/>
                <w:lang w:val="en-US" w:eastAsia="zh-CN"/>
              </w:rPr>
              <w:t>胡念</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65" w:type="dxa"/>
            <w:vMerge w:val="continue"/>
            <w:vAlign w:val="center"/>
          </w:tcPr>
          <w:p/>
        </w:tc>
        <w:tc>
          <w:tcPr>
            <w:tcW w:w="1155"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褚敏杰                    </w:t>
            </w:r>
            <w:r>
              <w:rPr>
                <w:rFonts w:hint="eastAsia"/>
                <w:sz w:val="24"/>
                <w:szCs w:val="24"/>
              </w:rPr>
              <w:t>审核时间：</w:t>
            </w:r>
            <w:r>
              <w:rPr>
                <w:rFonts w:hint="eastAsia"/>
                <w:sz w:val="24"/>
                <w:szCs w:val="24"/>
                <w:lang w:val="en-US" w:eastAsia="zh-CN"/>
              </w:rPr>
              <w:t>2021.5.23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65" w:type="dxa"/>
            <w:vMerge w:val="continue"/>
            <w:vAlign w:val="center"/>
          </w:tcPr>
          <w:p/>
        </w:tc>
        <w:tc>
          <w:tcPr>
            <w:tcW w:w="1155" w:type="dxa"/>
            <w:vMerge w:val="continue"/>
            <w:vAlign w:val="center"/>
          </w:tcPr>
          <w:p/>
        </w:tc>
        <w:tc>
          <w:tcPr>
            <w:tcW w:w="10004" w:type="dxa"/>
            <w:vAlign w:val="center"/>
          </w:tcPr>
          <w:p>
            <w:pPr>
              <w:adjustRightInd w:val="0"/>
              <w:snapToGrid w:val="0"/>
              <w:spacing w:line="360" w:lineRule="auto"/>
              <w:ind w:right="105" w:rightChars="50"/>
              <w:textAlignment w:val="baseline"/>
              <w:rPr>
                <w:rFonts w:hint="eastAsia"/>
                <w:sz w:val="24"/>
                <w:szCs w:val="24"/>
              </w:rPr>
            </w:pPr>
            <w:r>
              <w:rPr>
                <w:rFonts w:hint="eastAsia"/>
                <w:sz w:val="24"/>
                <w:szCs w:val="24"/>
              </w:rPr>
              <w:t>审核条款：</w:t>
            </w:r>
          </w:p>
          <w:p>
            <w:pPr>
              <w:adjustRightInd w:val="0"/>
              <w:snapToGrid w:val="0"/>
              <w:spacing w:line="360" w:lineRule="auto"/>
              <w:ind w:right="105" w:rightChars="50"/>
              <w:textAlignment w:val="baseline"/>
              <w:rPr>
                <w:rFonts w:ascii="宋体" w:hAnsi="宋体" w:cs="Arial"/>
                <w:spacing w:val="-6"/>
                <w:sz w:val="21"/>
                <w:szCs w:val="21"/>
              </w:rPr>
            </w:pPr>
            <w:r>
              <w:rPr>
                <w:rFonts w:hint="eastAsia" w:ascii="宋体" w:hAnsi="宋体" w:cs="Arial"/>
                <w:spacing w:val="-6"/>
                <w:sz w:val="21"/>
                <w:szCs w:val="21"/>
              </w:rPr>
              <w:t>QEO:4.1理解组织及其环境、4.2理解相关方的需求和期望、4.3确定管理体系的范围、4.4质量/环境管理体系及其过程、5.1领导作用和承诺、5.2质量/环境/职业健康方针、5.3组织的岗位、职责和权限、6.1应对风险和机遇的措施、6.2质量/环境/</w:t>
            </w:r>
            <w:r>
              <w:rPr>
                <w:rFonts w:hint="eastAsia" w:ascii="宋体" w:hAnsi="宋体" w:cs="Arial"/>
                <w:sz w:val="21"/>
                <w:szCs w:val="21"/>
              </w:rPr>
              <w:t>职业健康</w:t>
            </w:r>
            <w:r>
              <w:rPr>
                <w:rFonts w:hint="eastAsia" w:ascii="宋体" w:hAnsi="宋体" w:cs="Arial"/>
                <w:spacing w:val="-6"/>
                <w:sz w:val="21"/>
                <w:szCs w:val="21"/>
              </w:rPr>
              <w:t>安全目标及其实现的策划、7.1.1（EO7.1）资源总则、7.4沟通/信息交流、9.3管理评审、10.1改进、10.3持续改进</w:t>
            </w:r>
          </w:p>
          <w:p>
            <w:pPr>
              <w:adjustRightInd w:val="0"/>
              <w:snapToGrid w:val="0"/>
              <w:spacing w:line="360" w:lineRule="auto"/>
              <w:ind w:right="105" w:rightChars="50"/>
              <w:textAlignment w:val="baseline"/>
              <w:rPr>
                <w:rFonts w:ascii="宋体" w:hAnsi="宋体" w:cs="Arial"/>
                <w:spacing w:val="-6"/>
                <w:sz w:val="21"/>
                <w:szCs w:val="21"/>
              </w:rPr>
            </w:pPr>
            <w:r>
              <w:rPr>
                <w:rFonts w:hint="eastAsia" w:ascii="宋体" w:hAnsi="宋体" w:cs="Arial"/>
                <w:spacing w:val="-6"/>
                <w:sz w:val="21"/>
                <w:szCs w:val="21"/>
              </w:rPr>
              <w:t>Q6.3变更的策划</w:t>
            </w:r>
          </w:p>
          <w:p>
            <w:pPr>
              <w:adjustRightInd w:val="0"/>
              <w:snapToGrid w:val="0"/>
              <w:spacing w:line="360" w:lineRule="auto"/>
              <w:ind w:right="105" w:rightChars="50"/>
              <w:textAlignment w:val="baseline"/>
              <w:rPr>
                <w:rFonts w:ascii="宋体" w:hAnsi="宋体" w:cs="Arial"/>
                <w:spacing w:val="-6"/>
                <w:sz w:val="21"/>
                <w:szCs w:val="21"/>
              </w:rPr>
            </w:pPr>
            <w:r>
              <w:rPr>
                <w:rFonts w:hint="eastAsia" w:ascii="宋体" w:hAnsi="宋体" w:cs="Arial"/>
                <w:spacing w:val="-6"/>
                <w:sz w:val="21"/>
                <w:szCs w:val="21"/>
              </w:rPr>
              <w:t>O5.4协商与参与</w:t>
            </w:r>
          </w:p>
          <w:p>
            <w:pPr>
              <w:adjustRightInd w:val="0"/>
              <w:snapToGrid w:val="0"/>
              <w:spacing w:line="360" w:lineRule="auto"/>
              <w:ind w:right="105" w:rightChars="50"/>
              <w:textAlignment w:val="baseline"/>
              <w:rPr>
                <w:sz w:val="24"/>
                <w:szCs w:val="24"/>
              </w:rPr>
            </w:pPr>
            <w:r>
              <w:rPr>
                <w:rFonts w:hint="eastAsia" w:ascii="宋体" w:hAnsi="宋体" w:cs="Arial"/>
                <w:spacing w:val="-6"/>
                <w:sz w:val="21"/>
                <w:szCs w:val="21"/>
              </w:rPr>
              <w:t>标准/规范/法规的执行情况、上次审核不符合项的验证、认证证书、标志的使用情况、投诉或事故、监督抽查情况、体系变动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65" w:type="dxa"/>
          </w:tcPr>
          <w:p>
            <w:pPr>
              <w:rPr>
                <w:rFonts w:hint="eastAsia" w:ascii="宋体" w:hAnsi="宋体" w:cs="Arial"/>
                <w:spacing w:val="-6"/>
                <w:sz w:val="21"/>
                <w:szCs w:val="21"/>
              </w:rPr>
            </w:pPr>
            <w:r>
              <w:rPr>
                <w:rFonts w:hint="eastAsia" w:ascii="宋体" w:hAnsi="宋体" w:cs="Arial"/>
                <w:spacing w:val="-6"/>
                <w:sz w:val="21"/>
                <w:szCs w:val="21"/>
              </w:rPr>
              <w:t>理解组织及其环境</w:t>
            </w:r>
          </w:p>
        </w:tc>
        <w:tc>
          <w:tcPr>
            <w:tcW w:w="1155" w:type="dxa"/>
          </w:tcPr>
          <w:p>
            <w:pPr>
              <w:jc w:val="center"/>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QEO:</w:t>
            </w:r>
            <w:r>
              <w:rPr>
                <w:rFonts w:hint="eastAsia" w:ascii="宋体" w:hAnsi="宋体" w:cs="Arial"/>
                <w:spacing w:val="-6"/>
                <w:sz w:val="21"/>
                <w:szCs w:val="21"/>
              </w:rPr>
              <w:t>4.1</w:t>
            </w:r>
          </w:p>
        </w:tc>
        <w:tc>
          <w:tcPr>
            <w:tcW w:w="10004" w:type="dxa"/>
          </w:tcPr>
          <w:p>
            <w:pPr>
              <w:adjustRightInd w:val="0"/>
              <w:snapToGrid w:val="0"/>
              <w:spacing w:line="360" w:lineRule="auto"/>
              <w:ind w:right="105" w:rightChars="50"/>
              <w:textAlignment w:val="baseline"/>
              <w:rPr>
                <w:rFonts w:hint="eastAsia" w:ascii="宋体" w:hAnsi="宋体" w:eastAsia="宋体" w:cs="Arial"/>
                <w:color w:val="auto"/>
                <w:spacing w:val="-6"/>
                <w:sz w:val="21"/>
                <w:szCs w:val="21"/>
                <w:lang w:val="de-DE"/>
              </w:rPr>
            </w:pPr>
            <w:r>
              <w:rPr>
                <w:rFonts w:hint="eastAsia" w:ascii="宋体" w:hAnsi="宋体" w:eastAsia="宋体" w:cs="Arial"/>
                <w:color w:val="auto"/>
                <w:spacing w:val="-6"/>
                <w:sz w:val="21"/>
                <w:szCs w:val="21"/>
                <w:lang w:val="de-DE"/>
              </w:rPr>
              <w:t>江西阳光行动科技有限公司成立于2011年4月11日；注册资金18000万元；</w:t>
            </w:r>
          </w:p>
          <w:p>
            <w:pPr>
              <w:adjustRightInd w:val="0"/>
              <w:snapToGrid w:val="0"/>
              <w:spacing w:line="360" w:lineRule="auto"/>
              <w:ind w:right="105" w:rightChars="50"/>
              <w:textAlignment w:val="baseline"/>
              <w:rPr>
                <w:rFonts w:hint="eastAsia" w:ascii="宋体" w:hAnsi="宋体" w:eastAsia="宋体" w:cs="Arial"/>
                <w:color w:val="auto"/>
                <w:spacing w:val="-6"/>
                <w:sz w:val="21"/>
                <w:szCs w:val="21"/>
                <w:lang w:val="de-DE"/>
              </w:rPr>
            </w:pPr>
            <w:r>
              <w:rPr>
                <w:rFonts w:hint="eastAsia" w:ascii="宋体" w:hAnsi="宋体" w:eastAsia="宋体" w:cs="Arial"/>
                <w:color w:val="auto"/>
                <w:spacing w:val="-6"/>
                <w:sz w:val="21"/>
                <w:szCs w:val="21"/>
                <w:lang w:val="en-US" w:eastAsia="zh-CN"/>
              </w:rPr>
              <w:t>注册地址：</w:t>
            </w:r>
            <w:r>
              <w:rPr>
                <w:rFonts w:hint="eastAsia" w:ascii="宋体" w:hAnsi="宋体" w:eastAsia="宋体" w:cs="Arial"/>
                <w:color w:val="auto"/>
                <w:spacing w:val="-6"/>
                <w:sz w:val="21"/>
                <w:szCs w:val="21"/>
                <w:lang w:val="de-DE"/>
              </w:rPr>
              <w:t>江西省宜春市樟树市城北经济技术开发区清江大道688号；</w:t>
            </w:r>
          </w:p>
          <w:p>
            <w:pPr>
              <w:adjustRightInd w:val="0"/>
              <w:snapToGrid w:val="0"/>
              <w:spacing w:line="360" w:lineRule="auto"/>
              <w:ind w:right="105" w:rightChars="50"/>
              <w:textAlignment w:val="baseline"/>
              <w:rPr>
                <w:rFonts w:hint="eastAsia" w:ascii="宋体" w:hAnsi="宋体" w:eastAsia="宋体" w:cs="Arial"/>
                <w:color w:val="auto"/>
                <w:spacing w:val="-6"/>
                <w:sz w:val="21"/>
                <w:szCs w:val="21"/>
                <w:lang w:val="de-DE"/>
              </w:rPr>
            </w:pPr>
            <w:r>
              <w:rPr>
                <w:rFonts w:hint="eastAsia" w:ascii="宋体" w:hAnsi="宋体" w:eastAsia="宋体" w:cs="Arial"/>
                <w:color w:val="auto"/>
                <w:spacing w:val="-6"/>
                <w:sz w:val="21"/>
                <w:szCs w:val="21"/>
                <w:lang w:val="en-US" w:eastAsia="zh-CN"/>
              </w:rPr>
              <w:t>生产经营地址：</w:t>
            </w:r>
            <w:r>
              <w:rPr>
                <w:rFonts w:hint="eastAsia" w:ascii="宋体" w:hAnsi="宋体" w:eastAsia="宋体" w:cs="Arial"/>
                <w:color w:val="auto"/>
                <w:spacing w:val="-6"/>
                <w:sz w:val="21"/>
                <w:szCs w:val="21"/>
                <w:lang w:val="de-DE"/>
              </w:rPr>
              <w:t>江西省宜春市樟树市城北经济技术开发区清江大道688号；</w:t>
            </w:r>
          </w:p>
          <w:p>
            <w:pPr>
              <w:adjustRightInd w:val="0"/>
              <w:snapToGrid w:val="0"/>
              <w:spacing w:line="360" w:lineRule="auto"/>
              <w:ind w:right="105" w:rightChars="5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营业执照经营范围：</w:t>
            </w:r>
            <w:r>
              <w:rPr>
                <w:rFonts w:hint="eastAsia" w:ascii="宋体" w:hAnsi="宋体" w:eastAsia="宋体" w:cs="Arial"/>
                <w:color w:val="auto"/>
                <w:spacing w:val="-6"/>
                <w:sz w:val="21"/>
                <w:szCs w:val="21"/>
                <w:lang w:val="de-DE"/>
              </w:rPr>
              <w:t>密集架、书架、保险柜、文件柜、金库门、爆炸品保险箱等十一大系列一百多个品种</w:t>
            </w:r>
            <w:r>
              <w:rPr>
                <w:rFonts w:hint="eastAsia" w:ascii="宋体" w:hAnsi="宋体" w:eastAsia="宋体" w:cs="Arial"/>
                <w:color w:val="auto"/>
                <w:spacing w:val="-6"/>
                <w:sz w:val="21"/>
                <w:szCs w:val="21"/>
                <w:lang w:val="en-US" w:eastAsia="zh-CN"/>
              </w:rPr>
              <w:t>的设计、制造、安装、销售、售后等</w:t>
            </w:r>
            <w:r>
              <w:rPr>
                <w:rFonts w:hint="eastAsia" w:ascii="宋体" w:hAnsi="宋体" w:eastAsia="宋体" w:cs="Arial"/>
                <w:color w:val="auto"/>
                <w:spacing w:val="-6"/>
                <w:sz w:val="21"/>
                <w:szCs w:val="21"/>
                <w:lang w:val="de-DE"/>
              </w:rPr>
              <w:t>。</w:t>
            </w:r>
            <w:r>
              <w:rPr>
                <w:rFonts w:hint="eastAsia" w:ascii="宋体" w:hAnsi="宋体" w:eastAsia="宋体" w:cs="Arial"/>
                <w:color w:val="auto"/>
                <w:spacing w:val="-6"/>
                <w:sz w:val="21"/>
                <w:szCs w:val="21"/>
                <w:lang w:val="en-US" w:eastAsia="zh-CN"/>
              </w:rPr>
              <w:t>覆盖认证范围。</w:t>
            </w:r>
          </w:p>
          <w:p>
            <w:pPr>
              <w:adjustRightInd w:val="0"/>
              <w:snapToGrid w:val="0"/>
              <w:spacing w:line="360" w:lineRule="auto"/>
              <w:ind w:right="105" w:rightChars="50"/>
              <w:textAlignment w:val="baseline"/>
              <w:rPr>
                <w:rFonts w:hint="eastAsia" w:ascii="宋体" w:hAnsi="宋体" w:eastAsia="宋体" w:cs="Arial"/>
                <w:color w:val="auto"/>
                <w:spacing w:val="-6"/>
                <w:sz w:val="21"/>
                <w:szCs w:val="21"/>
                <w:lang w:val="de-DE" w:eastAsia="zh-CN"/>
              </w:rPr>
            </w:pPr>
            <w:r>
              <w:rPr>
                <w:rFonts w:hint="eastAsia" w:ascii="宋体" w:hAnsi="宋体" w:eastAsia="宋体" w:cs="Arial"/>
                <w:color w:val="auto"/>
                <w:spacing w:val="-6"/>
                <w:sz w:val="21"/>
                <w:szCs w:val="21"/>
                <w:lang w:val="de-DE"/>
              </w:rPr>
              <w:t>现有员工45人</w:t>
            </w:r>
            <w:r>
              <w:rPr>
                <w:rFonts w:hint="eastAsia" w:ascii="宋体" w:hAnsi="宋体" w:cs="Arial"/>
                <w:color w:val="auto"/>
                <w:spacing w:val="-6"/>
                <w:sz w:val="21"/>
                <w:szCs w:val="21"/>
                <w:lang w:val="de-DE" w:eastAsia="zh-CN"/>
              </w:rPr>
              <w:t>；</w:t>
            </w:r>
          </w:p>
          <w:p>
            <w:pPr>
              <w:adjustRightInd w:val="0"/>
              <w:snapToGrid w:val="0"/>
              <w:spacing w:line="360" w:lineRule="auto"/>
              <w:ind w:right="105" w:rightChars="50"/>
              <w:textAlignment w:val="baseline"/>
              <w:rPr>
                <w:rFonts w:hint="eastAsia" w:ascii="宋体" w:hAnsi="宋体" w:eastAsia="宋体" w:cs="Arial"/>
                <w:color w:val="auto"/>
                <w:spacing w:val="-6"/>
                <w:sz w:val="21"/>
                <w:szCs w:val="21"/>
                <w:lang w:val="de-DE"/>
              </w:rPr>
            </w:pPr>
            <w:r>
              <w:rPr>
                <w:rFonts w:hint="eastAsia" w:ascii="宋体" w:hAnsi="宋体" w:eastAsia="宋体" w:cs="Arial"/>
                <w:color w:val="auto"/>
                <w:spacing w:val="-6"/>
                <w:sz w:val="21"/>
                <w:szCs w:val="21"/>
                <w:lang w:val="de-DE"/>
              </w:rPr>
              <w:t>主要设备有激光切割机、智能折弯中心、焊接机器人、自动喷塑流水线等；</w:t>
            </w:r>
          </w:p>
          <w:p>
            <w:pPr>
              <w:adjustRightInd w:val="0"/>
              <w:snapToGrid w:val="0"/>
              <w:spacing w:line="360" w:lineRule="auto"/>
              <w:ind w:right="105" w:rightChars="50"/>
              <w:textAlignment w:val="baseline"/>
              <w:rPr>
                <w:rFonts w:hint="eastAsia" w:ascii="宋体" w:hAnsi="宋体" w:eastAsia="宋体" w:cs="Arial"/>
                <w:color w:val="auto"/>
                <w:spacing w:val="-6"/>
                <w:sz w:val="21"/>
                <w:szCs w:val="21"/>
                <w:lang w:val="de-DE"/>
              </w:rPr>
            </w:pPr>
            <w:r>
              <w:rPr>
                <w:rFonts w:hint="eastAsia" w:ascii="宋体" w:hAnsi="宋体" w:eastAsia="宋体" w:cs="Arial"/>
                <w:color w:val="auto"/>
                <w:spacing w:val="-6"/>
                <w:sz w:val="21"/>
                <w:szCs w:val="21"/>
                <w:lang w:val="de-DE"/>
              </w:rPr>
              <w:t>主要检测设备有直角尺、钢直尺、钢卷尺、塞尺、涂镀层测厚仪、游标卡尺等；</w:t>
            </w:r>
          </w:p>
          <w:p>
            <w:pPr>
              <w:adjustRightInd w:val="0"/>
              <w:snapToGrid w:val="0"/>
              <w:spacing w:line="360" w:lineRule="auto"/>
              <w:ind w:right="105" w:rightChars="50"/>
              <w:textAlignment w:val="baseline"/>
              <w:rPr>
                <w:rFonts w:hint="eastAsia" w:ascii="宋体" w:hAnsi="宋体" w:cs="Arial"/>
                <w:color w:val="auto"/>
                <w:spacing w:val="-6"/>
                <w:sz w:val="21"/>
                <w:szCs w:val="21"/>
              </w:rPr>
            </w:pPr>
            <w:r>
              <w:rPr>
                <w:rFonts w:hint="eastAsia" w:ascii="宋体" w:hAnsi="宋体" w:eastAsia="宋体" w:cs="Arial"/>
                <w:color w:val="auto"/>
                <w:spacing w:val="-6"/>
                <w:sz w:val="21"/>
                <w:szCs w:val="21"/>
                <w:lang w:val="de-DE"/>
              </w:rPr>
              <w:t>公司设有行政部、生产部、质检部、采购部、销售部、财务部。</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经交流得知公司</w:t>
            </w:r>
            <w:r>
              <w:rPr>
                <w:rFonts w:hint="default" w:ascii="宋体" w:hAnsi="宋体" w:cs="Arial"/>
                <w:spacing w:val="-6"/>
                <w:sz w:val="21"/>
                <w:szCs w:val="21"/>
                <w:lang w:val="en-US" w:eastAsia="zh-CN"/>
              </w:rPr>
              <w:t>通过定期的网站获取、顾客沟通、及定期内部总结等方式</w:t>
            </w:r>
            <w:r>
              <w:rPr>
                <w:rFonts w:hint="eastAsia" w:ascii="宋体" w:hAnsi="宋体" w:cs="Arial"/>
                <w:spacing w:val="-6"/>
                <w:sz w:val="21"/>
                <w:szCs w:val="21"/>
                <w:lang w:val="en-US" w:eastAsia="zh-CN"/>
              </w:rPr>
              <w:t>对内外部因素</w:t>
            </w:r>
            <w:r>
              <w:rPr>
                <w:rFonts w:hint="default" w:ascii="宋体" w:hAnsi="宋体" w:cs="Arial"/>
                <w:spacing w:val="-6"/>
                <w:sz w:val="21"/>
                <w:szCs w:val="21"/>
                <w:lang w:val="en-US" w:eastAsia="zh-CN"/>
              </w:rPr>
              <w:t>进行监视和评审</w:t>
            </w:r>
            <w:r>
              <w:rPr>
                <w:rFonts w:hint="eastAsia" w:ascii="宋体" w:hAnsi="宋体" w:cs="Arial"/>
                <w:spacing w:val="-6"/>
                <w:sz w:val="21"/>
                <w:szCs w:val="21"/>
                <w:lang w:val="en-US" w:eastAsia="zh-CN"/>
              </w:rPr>
              <w:t>：</w:t>
            </w: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外部因素：</w:t>
            </w: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金属制品等行业持续新建发展带来的机遇，安全环保的法规和政府对生产加工业的环保性、安全性和质量提出了越来越高的要求，行业有着非常大的提升空间，并取得迅速的发展。</w:t>
            </w: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原材料价格受国际、国内政策影响较大；</w:t>
            </w: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国内文化、社会因素影响因素很小。</w:t>
            </w: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与同类企业相比，具有</w:t>
            </w:r>
            <w:r>
              <w:rPr>
                <w:rFonts w:hint="eastAsia" w:ascii="宋体" w:hAnsi="宋体" w:cs="Arial"/>
                <w:spacing w:val="-6"/>
                <w:sz w:val="21"/>
                <w:szCs w:val="21"/>
                <w:lang w:val="en-US" w:eastAsia="zh-CN"/>
              </w:rPr>
              <w:t>设备先进、</w:t>
            </w:r>
            <w:r>
              <w:rPr>
                <w:rFonts w:hint="default" w:ascii="宋体" w:hAnsi="宋体" w:cs="Arial"/>
                <w:spacing w:val="-6"/>
                <w:sz w:val="21"/>
                <w:szCs w:val="21"/>
                <w:lang w:val="en-US" w:eastAsia="zh-CN"/>
              </w:rPr>
              <w:t>人员少、生产效率高</w:t>
            </w:r>
            <w:r>
              <w:rPr>
                <w:rFonts w:hint="eastAsia" w:ascii="宋体" w:hAnsi="宋体" w:cs="Arial"/>
                <w:spacing w:val="-6"/>
                <w:sz w:val="21"/>
                <w:szCs w:val="21"/>
                <w:lang w:val="en-US" w:eastAsia="zh-CN"/>
              </w:rPr>
              <w:t>、</w:t>
            </w:r>
            <w:r>
              <w:rPr>
                <w:rFonts w:hint="default" w:ascii="宋体" w:hAnsi="宋体" w:cs="Arial"/>
                <w:spacing w:val="-6"/>
                <w:sz w:val="21"/>
                <w:szCs w:val="21"/>
                <w:lang w:val="en-US" w:eastAsia="zh-CN"/>
              </w:rPr>
              <w:t>生产周期短、技术力量</w:t>
            </w:r>
            <w:r>
              <w:rPr>
                <w:rFonts w:hint="eastAsia" w:ascii="宋体" w:hAnsi="宋体" w:cs="Arial"/>
                <w:spacing w:val="-6"/>
                <w:sz w:val="21"/>
                <w:szCs w:val="21"/>
                <w:lang w:val="en-US" w:eastAsia="zh-CN"/>
              </w:rPr>
              <w:t>强等</w:t>
            </w:r>
            <w:r>
              <w:rPr>
                <w:rFonts w:hint="default" w:ascii="宋体" w:hAnsi="宋体" w:cs="Arial"/>
                <w:spacing w:val="-6"/>
                <w:sz w:val="21"/>
                <w:szCs w:val="21"/>
                <w:lang w:val="en-US" w:eastAsia="zh-CN"/>
              </w:rPr>
              <w:t>优势。</w:t>
            </w: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内部因素：</w:t>
            </w: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公司的人员均为有多年生产实践经验和质检及相关岗位管理工作经验</w:t>
            </w:r>
            <w:r>
              <w:rPr>
                <w:rFonts w:hint="eastAsia" w:ascii="宋体" w:hAnsi="宋体" w:cs="Arial"/>
                <w:spacing w:val="-6"/>
                <w:sz w:val="21"/>
                <w:szCs w:val="21"/>
                <w:lang w:val="en-US" w:eastAsia="zh-CN"/>
              </w:rPr>
              <w:t>；</w:t>
            </w:r>
            <w:r>
              <w:rPr>
                <w:rFonts w:hint="default" w:ascii="宋体" w:hAnsi="宋体" w:cs="Arial"/>
                <w:spacing w:val="-6"/>
                <w:sz w:val="21"/>
                <w:szCs w:val="21"/>
                <w:lang w:val="en-US" w:eastAsia="zh-CN"/>
              </w:rPr>
              <w:t>生产技术人员全部经过技能/合规性培训，业务熟练，质量意识</w:t>
            </w:r>
            <w:r>
              <w:rPr>
                <w:rFonts w:hint="eastAsia" w:ascii="宋体" w:hAnsi="宋体" w:cs="Arial"/>
                <w:spacing w:val="-6"/>
                <w:sz w:val="21"/>
                <w:szCs w:val="21"/>
                <w:lang w:val="en-US" w:eastAsia="zh-CN"/>
              </w:rPr>
              <w:t>、</w:t>
            </w:r>
            <w:r>
              <w:rPr>
                <w:rFonts w:hint="default" w:ascii="宋体" w:hAnsi="宋体" w:cs="Arial"/>
                <w:spacing w:val="-6"/>
                <w:sz w:val="21"/>
                <w:szCs w:val="21"/>
                <w:lang w:val="en-US" w:eastAsia="zh-CN"/>
              </w:rPr>
              <w:t>环境保护意识</w:t>
            </w:r>
            <w:r>
              <w:rPr>
                <w:rFonts w:hint="eastAsia" w:ascii="宋体" w:hAnsi="宋体" w:cs="Arial"/>
                <w:spacing w:val="-6"/>
                <w:sz w:val="21"/>
                <w:szCs w:val="21"/>
                <w:lang w:val="en-US" w:eastAsia="zh-CN"/>
              </w:rPr>
              <w:t>、职业健康安全意识</w:t>
            </w:r>
            <w:r>
              <w:rPr>
                <w:rFonts w:hint="default" w:ascii="宋体" w:hAnsi="宋体" w:cs="Arial"/>
                <w:spacing w:val="-6"/>
                <w:sz w:val="21"/>
                <w:szCs w:val="21"/>
                <w:lang w:val="en-US" w:eastAsia="zh-CN"/>
              </w:rPr>
              <w:t>较强。</w:t>
            </w: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采用先进成熟的生产工艺，产品</w:t>
            </w:r>
            <w:r>
              <w:rPr>
                <w:rFonts w:hint="eastAsia" w:ascii="宋体" w:hAnsi="宋体" w:cs="Arial"/>
                <w:spacing w:val="-6"/>
                <w:sz w:val="21"/>
                <w:szCs w:val="21"/>
                <w:lang w:val="en-US" w:eastAsia="zh-CN"/>
              </w:rPr>
              <w:t>、</w:t>
            </w:r>
            <w:r>
              <w:rPr>
                <w:rFonts w:hint="default" w:ascii="宋体" w:hAnsi="宋体" w:cs="Arial"/>
                <w:spacing w:val="-6"/>
                <w:sz w:val="21"/>
                <w:szCs w:val="21"/>
                <w:lang w:val="en-US" w:eastAsia="zh-CN"/>
              </w:rPr>
              <w:t>环境、职业健康安全有保证，规模较大，采取了横向联合流程性生产模式，产能有一定的优势。</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default" w:ascii="宋体" w:hAnsi="宋体" w:cs="Arial"/>
                <w:spacing w:val="-6"/>
                <w:sz w:val="21"/>
                <w:szCs w:val="21"/>
                <w:lang w:val="en-US" w:eastAsia="zh-CN"/>
              </w:rPr>
              <w:t>公司财务能保障公司质量/环境/职业健康安全管理体系运行所需</w:t>
            </w:r>
            <w:r>
              <w:rPr>
                <w:rFonts w:hint="eastAsia" w:ascii="宋体" w:hAnsi="宋体" w:cs="Arial"/>
                <w:spacing w:val="-6"/>
                <w:sz w:val="21"/>
                <w:szCs w:val="21"/>
                <w:lang w:val="en-US" w:eastAsia="zh-CN"/>
              </w:rPr>
              <w:t>，</w:t>
            </w:r>
            <w:r>
              <w:rPr>
                <w:rFonts w:hint="default" w:ascii="宋体" w:hAnsi="宋体" w:cs="Arial"/>
                <w:spacing w:val="-6"/>
                <w:sz w:val="21"/>
                <w:szCs w:val="21"/>
                <w:lang w:val="en-US" w:eastAsia="zh-CN"/>
              </w:rPr>
              <w:t>公司的技术、销售基础设施、环保安全设施配备齐全、过程运行环境控制良好</w:t>
            </w:r>
            <w:r>
              <w:rPr>
                <w:rFonts w:hint="eastAsia" w:ascii="宋体" w:hAnsi="宋体" w:cs="Arial"/>
                <w:spacing w:val="-6"/>
                <w:sz w:val="21"/>
                <w:szCs w:val="21"/>
                <w:lang w:val="en-US" w:eastAsia="zh-CN"/>
              </w:rPr>
              <w:t>。</w:t>
            </w: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经查，符合要求。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965" w:type="dxa"/>
          </w:tcPr>
          <w:p>
            <w:pPr>
              <w:rPr>
                <w:rFonts w:hint="eastAsia" w:ascii="宋体" w:hAnsi="宋体" w:cs="Arial"/>
                <w:spacing w:val="-6"/>
                <w:sz w:val="21"/>
                <w:szCs w:val="21"/>
              </w:rPr>
            </w:pPr>
            <w:r>
              <w:rPr>
                <w:rFonts w:hint="eastAsia" w:ascii="宋体" w:hAnsi="宋体" w:cs="Arial"/>
                <w:spacing w:val="-6"/>
                <w:sz w:val="21"/>
                <w:szCs w:val="21"/>
              </w:rPr>
              <w:t>理解相关方的需求和期望</w:t>
            </w:r>
          </w:p>
          <w:p>
            <w:pPr>
              <w:rPr>
                <w:rFonts w:hint="eastAsia" w:ascii="宋体" w:hAnsi="宋体" w:cs="Arial"/>
                <w:spacing w:val="-6"/>
                <w:sz w:val="21"/>
                <w:szCs w:val="21"/>
              </w:rPr>
            </w:pPr>
          </w:p>
        </w:tc>
        <w:tc>
          <w:tcPr>
            <w:tcW w:w="1155" w:type="dxa"/>
          </w:tcPr>
          <w:p>
            <w:pPr>
              <w:jc w:val="center"/>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QEO:</w:t>
            </w:r>
            <w:r>
              <w:rPr>
                <w:rFonts w:hint="eastAsia" w:ascii="宋体" w:hAnsi="宋体" w:cs="Arial"/>
                <w:spacing w:val="-6"/>
                <w:sz w:val="21"/>
                <w:szCs w:val="21"/>
              </w:rPr>
              <w:t>4.2</w:t>
            </w:r>
          </w:p>
        </w:tc>
        <w:tc>
          <w:tcPr>
            <w:tcW w:w="10004" w:type="dxa"/>
          </w:tcPr>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公司确定了与质量、环境、职业健康安全管理体系有关的相关方包括</w:t>
            </w:r>
            <w:r>
              <w:rPr>
                <w:rFonts w:hint="eastAsia" w:ascii="宋体" w:hAnsi="宋体" w:cs="Arial"/>
                <w:spacing w:val="-6"/>
                <w:sz w:val="21"/>
                <w:szCs w:val="21"/>
                <w:lang w:val="en-US" w:eastAsia="zh-CN"/>
              </w:rPr>
              <w:t>：</w:t>
            </w:r>
            <w:r>
              <w:rPr>
                <w:rFonts w:hint="default" w:ascii="宋体" w:hAnsi="宋体" w:cs="Arial"/>
                <w:spacing w:val="-6"/>
                <w:sz w:val="21"/>
                <w:szCs w:val="21"/>
                <w:lang w:val="en-US" w:eastAsia="zh-CN"/>
              </w:rPr>
              <w:t>顾客/最终消费者、员工、政府、外部供方、竞争对手、社会相邻单位等；公司明确了相关方要求与期望、监测指标或项目、监测频率、监测部门等。</w:t>
            </w: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对这些相关方</w:t>
            </w:r>
            <w:r>
              <w:rPr>
                <w:rFonts w:hint="eastAsia" w:ascii="宋体" w:hAnsi="宋体" w:cs="Arial"/>
                <w:spacing w:val="-6"/>
                <w:sz w:val="21"/>
                <w:szCs w:val="21"/>
                <w:lang w:val="en-US" w:eastAsia="zh-CN"/>
              </w:rPr>
              <w:t>监视</w:t>
            </w:r>
            <w:r>
              <w:rPr>
                <w:rFonts w:hint="default" w:ascii="宋体" w:hAnsi="宋体" w:cs="Arial"/>
                <w:spacing w:val="-6"/>
                <w:sz w:val="21"/>
                <w:szCs w:val="21"/>
                <w:lang w:val="en-US" w:eastAsia="zh-CN"/>
              </w:rPr>
              <w:t>和评审的方法有：上级文件、标准和规范的获取、设备器具检定、沟通等。</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65" w:type="dxa"/>
          </w:tcPr>
          <w:p>
            <w:pPr>
              <w:rPr>
                <w:rFonts w:hint="eastAsia" w:ascii="宋体" w:hAnsi="宋体" w:cs="Arial"/>
                <w:color w:val="auto"/>
                <w:spacing w:val="-6"/>
                <w:sz w:val="21"/>
                <w:szCs w:val="21"/>
              </w:rPr>
            </w:pPr>
            <w:r>
              <w:rPr>
                <w:rFonts w:hint="eastAsia" w:ascii="宋体" w:hAnsi="宋体" w:cs="Arial"/>
                <w:color w:val="auto"/>
                <w:spacing w:val="-6"/>
                <w:sz w:val="21"/>
                <w:szCs w:val="21"/>
              </w:rPr>
              <w:t>应对风险和机遇的措施</w:t>
            </w:r>
          </w:p>
          <w:p>
            <w:pPr>
              <w:rPr>
                <w:rFonts w:hint="eastAsia" w:ascii="宋体" w:hAnsi="宋体" w:cs="Arial"/>
                <w:color w:val="auto"/>
                <w:spacing w:val="-6"/>
                <w:sz w:val="21"/>
                <w:szCs w:val="21"/>
              </w:rPr>
            </w:pPr>
            <w:r>
              <w:rPr>
                <w:rFonts w:hint="eastAsia" w:ascii="宋体" w:hAnsi="宋体" w:cs="Arial"/>
                <w:color w:val="auto"/>
                <w:spacing w:val="-6"/>
                <w:sz w:val="21"/>
                <w:szCs w:val="21"/>
              </w:rPr>
              <w:t>确定管理体系的范围</w:t>
            </w:r>
          </w:p>
          <w:p>
            <w:pPr>
              <w:rPr>
                <w:rFonts w:hint="eastAsia" w:ascii="宋体" w:hAnsi="宋体" w:cs="Arial"/>
                <w:color w:val="auto"/>
                <w:spacing w:val="-6"/>
                <w:sz w:val="21"/>
                <w:szCs w:val="21"/>
              </w:rPr>
            </w:pPr>
            <w:r>
              <w:rPr>
                <w:rFonts w:hint="eastAsia" w:ascii="宋体" w:hAnsi="宋体" w:cs="Arial"/>
                <w:color w:val="auto"/>
                <w:spacing w:val="-6"/>
                <w:sz w:val="21"/>
                <w:szCs w:val="21"/>
              </w:rPr>
              <w:t>管理体系及其过程</w:t>
            </w:r>
          </w:p>
          <w:p>
            <w:pPr>
              <w:rPr>
                <w:rFonts w:hint="eastAsia" w:ascii="宋体" w:hAnsi="宋体" w:cs="Arial"/>
                <w:color w:val="auto"/>
                <w:spacing w:val="-6"/>
                <w:sz w:val="21"/>
                <w:szCs w:val="21"/>
              </w:rPr>
            </w:pPr>
            <w:r>
              <w:rPr>
                <w:rFonts w:hint="eastAsia" w:ascii="宋体" w:hAnsi="宋体" w:cs="Arial"/>
                <w:color w:val="auto"/>
                <w:spacing w:val="-6"/>
                <w:sz w:val="21"/>
                <w:szCs w:val="21"/>
              </w:rPr>
              <w:t>变更的策划</w:t>
            </w:r>
          </w:p>
          <w:p>
            <w:pPr>
              <w:rPr>
                <w:rFonts w:hint="default" w:ascii="宋体" w:hAnsi="宋体" w:eastAsia="宋体" w:cs="Arial"/>
                <w:spacing w:val="-6"/>
                <w:sz w:val="21"/>
                <w:szCs w:val="21"/>
                <w:lang w:val="en-US" w:eastAsia="zh-CN"/>
              </w:rPr>
            </w:pPr>
            <w:r>
              <w:rPr>
                <w:rFonts w:hint="eastAsia" w:ascii="宋体" w:hAnsi="宋体" w:cs="Arial"/>
                <w:spacing w:val="-6"/>
                <w:sz w:val="21"/>
                <w:szCs w:val="21"/>
                <w:lang w:val="en-US" w:eastAsia="zh-CN"/>
              </w:rPr>
              <w:t>体系变动情况</w:t>
            </w:r>
          </w:p>
        </w:tc>
        <w:tc>
          <w:tcPr>
            <w:tcW w:w="1155" w:type="dxa"/>
          </w:tcPr>
          <w:p>
            <w:pPr>
              <w:jc w:val="center"/>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QEO:6.1</w:t>
            </w:r>
          </w:p>
          <w:p>
            <w:pPr>
              <w:jc w:val="center"/>
              <w:rPr>
                <w:rFonts w:hint="eastAsia" w:ascii="宋体" w:hAnsi="宋体" w:cs="Arial"/>
                <w:spacing w:val="-6"/>
                <w:sz w:val="21"/>
                <w:szCs w:val="21"/>
              </w:rPr>
            </w:pPr>
            <w:r>
              <w:rPr>
                <w:rFonts w:hint="eastAsia" w:ascii="宋体" w:hAnsi="宋体" w:cs="Arial"/>
                <w:spacing w:val="-6"/>
                <w:sz w:val="21"/>
                <w:szCs w:val="21"/>
              </w:rPr>
              <w:t>4.3</w:t>
            </w:r>
          </w:p>
          <w:p>
            <w:pPr>
              <w:jc w:val="center"/>
              <w:rPr>
                <w:rFonts w:hint="eastAsia" w:ascii="宋体" w:hAnsi="宋体" w:cs="Arial"/>
                <w:spacing w:val="-6"/>
                <w:sz w:val="21"/>
                <w:szCs w:val="21"/>
              </w:rPr>
            </w:pPr>
            <w:r>
              <w:rPr>
                <w:rFonts w:hint="eastAsia" w:ascii="宋体" w:hAnsi="宋体" w:cs="Arial"/>
                <w:spacing w:val="-6"/>
                <w:sz w:val="21"/>
                <w:szCs w:val="21"/>
              </w:rPr>
              <w:t>4.4</w:t>
            </w:r>
          </w:p>
          <w:p>
            <w:pPr>
              <w:jc w:val="center"/>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Q:6.3</w:t>
            </w:r>
          </w:p>
        </w:tc>
        <w:tc>
          <w:tcPr>
            <w:tcW w:w="10004" w:type="dxa"/>
          </w:tcPr>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基于对4.1和4.2的考虑，分析了公司存在的风险和机遇：</w:t>
            </w: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机遇：</w:t>
            </w:r>
            <w:r>
              <w:rPr>
                <w:rFonts w:hint="default" w:ascii="宋体" w:hAnsi="宋体" w:cs="Arial"/>
                <w:spacing w:val="-6"/>
                <w:sz w:val="21"/>
                <w:szCs w:val="21"/>
                <w:lang w:val="en-US" w:eastAsia="zh-CN"/>
              </w:rPr>
              <w:t>行业市场的规模化，市场需求量很大</w:t>
            </w:r>
            <w:r>
              <w:rPr>
                <w:rFonts w:hint="eastAsia" w:ascii="宋体" w:hAnsi="宋体" w:cs="Arial"/>
                <w:spacing w:val="-6"/>
                <w:sz w:val="21"/>
                <w:szCs w:val="21"/>
                <w:lang w:val="en-US" w:eastAsia="zh-CN"/>
              </w:rPr>
              <w:t>，</w:t>
            </w:r>
            <w:r>
              <w:rPr>
                <w:rFonts w:hint="default" w:ascii="宋体" w:hAnsi="宋体" w:cs="Arial"/>
                <w:spacing w:val="-6"/>
                <w:sz w:val="21"/>
                <w:szCs w:val="21"/>
                <w:lang w:val="en-US" w:eastAsia="zh-CN"/>
              </w:rPr>
              <w:t>销售市场巨大，目前市场经济对企业有较好的推动作用。</w:t>
            </w: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风险：</w:t>
            </w:r>
            <w:r>
              <w:rPr>
                <w:rFonts w:hint="default" w:ascii="宋体" w:hAnsi="宋体" w:cs="Arial"/>
                <w:spacing w:val="-6"/>
                <w:sz w:val="21"/>
                <w:szCs w:val="21"/>
                <w:lang w:val="en-US" w:eastAsia="zh-CN"/>
              </w:rPr>
              <w:t>目前国内市场的同类产品有较多的品牌，竞争逐渐加剧</w:t>
            </w:r>
            <w:r>
              <w:rPr>
                <w:rFonts w:hint="eastAsia" w:ascii="宋体" w:hAnsi="宋体" w:cs="Arial"/>
                <w:spacing w:val="-6"/>
                <w:sz w:val="21"/>
                <w:szCs w:val="21"/>
                <w:lang w:val="en-US" w:eastAsia="zh-CN"/>
              </w:rPr>
              <w:t>；原材料价格波动较大</w:t>
            </w:r>
            <w:r>
              <w:rPr>
                <w:rFonts w:hint="default" w:ascii="宋体" w:hAnsi="宋体" w:cs="Arial"/>
                <w:spacing w:val="-6"/>
                <w:sz w:val="21"/>
                <w:szCs w:val="21"/>
                <w:lang w:val="en-US" w:eastAsia="zh-CN"/>
              </w:rPr>
              <w:t>。</w:t>
            </w: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编制有《风险和机遇的应对控制程序》，对组织内外的风险和机遇进行了策划。</w:t>
            </w:r>
            <w:r>
              <w:rPr>
                <w:rFonts w:hint="eastAsia" w:ascii="宋体" w:hAnsi="宋体" w:cs="Arial"/>
                <w:spacing w:val="-6"/>
                <w:sz w:val="21"/>
                <w:szCs w:val="21"/>
                <w:lang w:val="en-US" w:eastAsia="zh-CN"/>
              </w:rPr>
              <w:t>介绍说，公司</w:t>
            </w:r>
            <w:r>
              <w:rPr>
                <w:rFonts w:hint="default" w:ascii="宋体" w:hAnsi="宋体" w:cs="Arial"/>
                <w:spacing w:val="-6"/>
                <w:sz w:val="21"/>
                <w:szCs w:val="21"/>
                <w:lang w:val="en-US" w:eastAsia="zh-CN"/>
              </w:rPr>
              <w:t>识别了风险和机遇来源、风险和机遇内容、管理措施、责任部门、实时时间、评价措施等</w:t>
            </w:r>
            <w:r>
              <w:rPr>
                <w:rFonts w:hint="eastAsia" w:ascii="宋体" w:hAnsi="宋体" w:cs="Arial"/>
                <w:spacing w:val="-6"/>
                <w:sz w:val="21"/>
                <w:szCs w:val="21"/>
                <w:lang w:val="en-US" w:eastAsia="zh-CN"/>
              </w:rPr>
              <w:t>；</w:t>
            </w: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重大环境因素：潜在火灾，噪音排放、废气/粉尘排放、废水排放、固废排放；</w:t>
            </w: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控制措施：一般固废集中收集外售至废品回收站；危废委托有资质单位回收；选用低噪声设备，合理布局，隔声减震，厂房隔音；设备、电路定期检修、不定期检查，提高安全意识；做好火灾预防措施。一旦发生按相关应急预案执行；制定目标、指标；设备、电路定期检修、降低跑冒滴漏。</w:t>
            </w: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不可接受风险：火灾，触电、粉尘、噪声伤害、机械伤害；</w:t>
            </w: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控制措施：选用低噪声设备，合理布局，隔声减震；设备加防护罩、设备/电路定期检修、不定期检查，提高安全意识；做好火灾预防措施。一旦发生按相关应急预案执行；加强个体防护。</w:t>
            </w: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为应对相应的风险和机遇，公司依据GB/T19001-2016、GB/T24001-2016、GB/T45001-2020标准的要求并结合本公司的具体情况，采取PDCA的过程方法，建立、实施、保持并持续改进质量、环境、职业健康安全管理体系。根据认证范围的变更，对管理手册进行了修订，编制《管理手册》A/1版，管理体系于2020年12月10日，并重新发布实施；</w:t>
            </w:r>
            <w:bookmarkStart w:id="1" w:name="_GoBack"/>
            <w:bookmarkEnd w:id="1"/>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另编制程序文件26个，版本号：A/0，2019年12月10日实施；</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建立有外来文件清单，收集法律法规和技术标准、规范等14个；</w:t>
            </w: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建立环境、职业健康安全法律法规和其他要求清单，共98个。</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本公司识别并确定了如下分工及过程：采购过程、生产过程、销售过程、检验与交付过程、绩效分析、评价与改进等多个过程。</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生产工艺流程如下：</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切割下料→冲压 → 折弯→焊接→打磨表面处理→喷涂烘干→组装→包装→成品入库</w:t>
            </w:r>
          </w:p>
          <w:p>
            <w:pPr>
              <w:adjustRightInd w:val="0"/>
              <w:snapToGrid w:val="0"/>
              <w:spacing w:line="360" w:lineRule="auto"/>
              <w:ind w:right="105" w:rightChars="50"/>
              <w:textAlignment w:val="baseline"/>
              <w:rPr>
                <w:rFonts w:hint="eastAsia"/>
                <w:sz w:val="20"/>
                <w:lang w:val="en-US" w:eastAsia="zh-CN"/>
              </w:rPr>
            </w:pPr>
            <w:r>
              <w:rPr>
                <w:rFonts w:hint="eastAsia"/>
                <w:sz w:val="20"/>
                <w:lang w:val="en-US" w:eastAsia="zh-CN"/>
              </w:rPr>
              <w:t>安装过程：</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sz w:val="20"/>
                <w:lang w:val="en-US" w:eastAsia="zh-CN"/>
              </w:rPr>
              <w:t>任务下达——现场安装——客户确认</w:t>
            </w: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管理体系覆盖范围发生变更，新认证范围如下：</w:t>
            </w:r>
          </w:p>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bookmarkStart w:id="0" w:name="审核范围"/>
            <w:r>
              <w:rPr>
                <w:rFonts w:hint="eastAsia" w:ascii="宋体" w:hAnsi="宋体" w:eastAsia="宋体" w:cs="Arial"/>
                <w:spacing w:val="-6"/>
                <w:sz w:val="21"/>
                <w:szCs w:val="21"/>
                <w:lang w:val="en-US" w:eastAsia="zh-CN"/>
              </w:rPr>
              <w:t>Q：手动密集架、智能型密集架、博物馆珍藏架、文物柜架、智能文物储藏架（柜）、智能文物储藏展示柜、期刊架、文件柜、重型货架、药架、阅览桌、阅览椅、电脑桌、旋转式书架、拆装式书架、无轨密集架、防磁柜、底图柜、代保管箱、智能物证架（柜）、学生课桌椅、公寓床、烟花爆竹柜、军用床的设计、生产、安装、售后服务</w:t>
            </w:r>
          </w:p>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E：手动密集架、智能型密集架、博物馆珍藏架、文物柜架、智能文物储藏架（柜）、智能文物储藏展示柜、期刊架、文件柜、重型货架、药架、阅览桌、阅览椅、电脑桌、旋转式书架、拆装式书架、无轨密集架、防磁柜、底图柜、代保管箱、智能物证架（柜）、学生课桌椅、公寓床、烟花爆竹柜、军用床的设计、生产、安装、售后服务所涉及场所的相关环境管理活动</w:t>
            </w:r>
          </w:p>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O：手动密集架、智能型密集架、博物馆珍藏架、文物柜架、智能文物储藏架（柜）、智能文物储藏展示柜、期刊架、文件柜、重型货架、药架、阅览桌、阅览椅、电脑桌、旋转式书架、拆装式书架、无轨密集架、防磁柜、底图柜、代保管箱、智能物证架（柜）、学生课桌椅、公寓床、烟花爆竹柜、军用床的设计、生产、安装、售后服务所涉及场所的相关职业健康安全管理活动</w:t>
            </w:r>
            <w:bookmarkEnd w:id="0"/>
            <w:r>
              <w:rPr>
                <w:rFonts w:hint="eastAsia" w:ascii="宋体" w:hAnsi="宋体" w:eastAsia="宋体" w:cs="Arial"/>
                <w:spacing w:val="-6"/>
                <w:sz w:val="21"/>
                <w:szCs w:val="21"/>
                <w:lang w:val="en-US" w:eastAsia="zh-CN"/>
              </w:rPr>
              <w:t>.</w:t>
            </w: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eastAsia" w:ascii="宋体" w:hAnsi="宋体" w:eastAsia="宋体" w:cs="Arial"/>
                <w:spacing w:val="-6"/>
                <w:sz w:val="21"/>
                <w:szCs w:val="21"/>
                <w:lang w:val="en-US" w:eastAsia="zh-CN"/>
              </w:rPr>
              <w:t>经</w:t>
            </w:r>
            <w:r>
              <w:rPr>
                <w:rFonts w:hint="default" w:ascii="宋体" w:hAnsi="宋体" w:eastAsia="宋体" w:cs="Arial"/>
                <w:spacing w:val="-6"/>
                <w:sz w:val="21"/>
                <w:szCs w:val="21"/>
                <w:lang w:val="en-US" w:eastAsia="zh-CN"/>
              </w:rPr>
              <w:t>识别</w:t>
            </w:r>
            <w:r>
              <w:rPr>
                <w:rFonts w:hint="eastAsia" w:ascii="宋体" w:hAnsi="宋体" w:eastAsia="宋体" w:cs="Arial"/>
                <w:spacing w:val="-6"/>
                <w:sz w:val="21"/>
                <w:szCs w:val="21"/>
                <w:lang w:val="en-US" w:eastAsia="zh-CN"/>
              </w:rPr>
              <w:t>，公司</w:t>
            </w:r>
            <w:r>
              <w:rPr>
                <w:rFonts w:hint="default" w:ascii="宋体" w:hAnsi="宋体" w:eastAsia="宋体" w:cs="Arial"/>
                <w:spacing w:val="-6"/>
                <w:sz w:val="21"/>
                <w:szCs w:val="21"/>
                <w:lang w:val="en-US" w:eastAsia="zh-CN"/>
              </w:rPr>
              <w:t>无外包过程</w:t>
            </w:r>
            <w:r>
              <w:rPr>
                <w:rFonts w:hint="eastAsia" w:ascii="宋体" w:hAnsi="宋体" w:eastAsia="宋体" w:cs="Arial"/>
                <w:spacing w:val="-6"/>
                <w:sz w:val="21"/>
                <w:szCs w:val="21"/>
                <w:lang w:val="en-US" w:eastAsia="zh-CN"/>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1965" w:type="dxa"/>
          </w:tcPr>
          <w:p>
            <w:pPr>
              <w:rPr>
                <w:rFonts w:hint="eastAsia" w:ascii="宋体" w:hAnsi="宋体" w:cs="Arial"/>
                <w:spacing w:val="-6"/>
                <w:sz w:val="21"/>
                <w:szCs w:val="21"/>
              </w:rPr>
            </w:pPr>
            <w:r>
              <w:rPr>
                <w:rFonts w:hint="eastAsia" w:ascii="宋体" w:hAnsi="宋体" w:cs="Arial"/>
                <w:spacing w:val="-6"/>
                <w:sz w:val="21"/>
                <w:szCs w:val="21"/>
              </w:rPr>
              <w:t>领导作用和承诺</w:t>
            </w:r>
          </w:p>
          <w:p>
            <w:pPr>
              <w:rPr>
                <w:rFonts w:hint="eastAsia" w:ascii="宋体" w:hAnsi="宋体" w:cs="Arial"/>
                <w:spacing w:val="-6"/>
                <w:sz w:val="21"/>
                <w:szCs w:val="21"/>
              </w:rPr>
            </w:pPr>
            <w:r>
              <w:rPr>
                <w:rFonts w:hint="eastAsia" w:ascii="宋体" w:hAnsi="宋体" w:cs="Arial"/>
                <w:spacing w:val="-6"/>
                <w:sz w:val="21"/>
                <w:szCs w:val="21"/>
              </w:rPr>
              <w:t>组织的岗位、职责和权限</w:t>
            </w:r>
          </w:p>
          <w:p>
            <w:pPr>
              <w:rPr>
                <w:rFonts w:hint="eastAsia" w:ascii="宋体" w:hAnsi="宋体" w:cs="Arial"/>
                <w:spacing w:val="-6"/>
                <w:sz w:val="21"/>
                <w:szCs w:val="21"/>
              </w:rPr>
            </w:pPr>
          </w:p>
        </w:tc>
        <w:tc>
          <w:tcPr>
            <w:tcW w:w="1155" w:type="dxa"/>
          </w:tcPr>
          <w:p>
            <w:pPr>
              <w:jc w:val="center"/>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QEO:5.1</w:t>
            </w:r>
          </w:p>
          <w:p>
            <w:pPr>
              <w:jc w:val="center"/>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5.3</w:t>
            </w:r>
          </w:p>
          <w:p>
            <w:pPr>
              <w:rPr>
                <w:rFonts w:hint="default"/>
                <w:lang w:val="en-US" w:eastAsia="zh-CN"/>
              </w:rPr>
            </w:pPr>
          </w:p>
        </w:tc>
        <w:tc>
          <w:tcPr>
            <w:tcW w:w="10004" w:type="dxa"/>
          </w:tcPr>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公司部门设置有：行政部、采购部、销售部、生产部、质检部；</w:t>
            </w: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编制了岗位职责汇编，以文件上发的形式沟通各部门的职责及各部门之间工作的联系。</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965" w:type="dxa"/>
          </w:tcPr>
          <w:p>
            <w:pPr>
              <w:rPr>
                <w:rFonts w:hint="eastAsia" w:ascii="宋体" w:hAnsi="宋体" w:cs="Arial"/>
                <w:spacing w:val="-6"/>
                <w:sz w:val="21"/>
                <w:szCs w:val="21"/>
              </w:rPr>
            </w:pPr>
            <w:r>
              <w:rPr>
                <w:rFonts w:hint="eastAsia" w:ascii="宋体" w:hAnsi="宋体" w:cs="Arial"/>
                <w:spacing w:val="-6"/>
                <w:sz w:val="21"/>
                <w:szCs w:val="21"/>
                <w:lang w:val="en-US" w:eastAsia="zh-CN"/>
              </w:rPr>
              <w:t>管理</w:t>
            </w:r>
            <w:r>
              <w:rPr>
                <w:rFonts w:hint="eastAsia" w:ascii="宋体" w:hAnsi="宋体" w:cs="Arial"/>
                <w:spacing w:val="-6"/>
                <w:sz w:val="21"/>
                <w:szCs w:val="21"/>
              </w:rPr>
              <w:t>方针</w:t>
            </w:r>
          </w:p>
          <w:p>
            <w:r>
              <w:rPr>
                <w:rFonts w:hint="eastAsia" w:ascii="宋体" w:hAnsi="宋体" w:cs="Arial"/>
                <w:spacing w:val="-6"/>
                <w:sz w:val="21"/>
                <w:szCs w:val="21"/>
              </w:rPr>
              <w:t>目标及其实现的策划</w:t>
            </w:r>
          </w:p>
        </w:tc>
        <w:tc>
          <w:tcPr>
            <w:tcW w:w="1155" w:type="dxa"/>
          </w:tcPr>
          <w:p>
            <w:pPr>
              <w:jc w:val="center"/>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QEO:5.2</w:t>
            </w:r>
          </w:p>
          <w:p>
            <w:pPr>
              <w:jc w:val="center"/>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6.2</w:t>
            </w:r>
          </w:p>
        </w:tc>
        <w:tc>
          <w:tcPr>
            <w:tcW w:w="10004" w:type="dxa"/>
          </w:tcPr>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公司建立的管理方针为：</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 xml:space="preserve">质量方针：质量至上、持续创新、诚实守信、顾客至上 </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环境职业健康安全方针：预防为主，降低风险；遵章守法，创造和谐</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方针适宜于公司现状，在管理手册中明确，通过文件发放，是员工获知，适用时提供给相关方。</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并以方针为框架，建立了公司管理目标：</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产品质量目标：产品出厂合格率100%</w:t>
            </w:r>
          </w:p>
          <w:p>
            <w:pPr>
              <w:adjustRightInd w:val="0"/>
              <w:snapToGrid w:val="0"/>
              <w:spacing w:line="360" w:lineRule="auto"/>
              <w:ind w:right="105" w:rightChars="50" w:firstLine="1386" w:firstLineChars="7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产品一次交验合格率≥95%</w:t>
            </w:r>
          </w:p>
          <w:p>
            <w:pPr>
              <w:adjustRightInd w:val="0"/>
              <w:snapToGrid w:val="0"/>
              <w:spacing w:line="360" w:lineRule="auto"/>
              <w:ind w:right="105" w:rightChars="50" w:firstLine="1386" w:firstLineChars="7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顾客满意率大于92分</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安环目标：火灾、触电机械伤害控制事故为0</w:t>
            </w:r>
          </w:p>
          <w:p>
            <w:pPr>
              <w:adjustRightInd w:val="0"/>
              <w:snapToGrid w:val="0"/>
              <w:spacing w:line="360" w:lineRule="auto"/>
              <w:ind w:right="105" w:rightChars="50" w:firstLine="990" w:firstLineChars="5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职业病发病为0</w:t>
            </w:r>
          </w:p>
          <w:p>
            <w:pPr>
              <w:adjustRightInd w:val="0"/>
              <w:snapToGrid w:val="0"/>
              <w:spacing w:line="360" w:lineRule="auto"/>
              <w:ind w:right="105" w:rightChars="50" w:firstLine="990" w:firstLineChars="5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固体废弃物分类处置</w:t>
            </w:r>
          </w:p>
          <w:p>
            <w:pPr>
              <w:adjustRightInd w:val="0"/>
              <w:snapToGrid w:val="0"/>
              <w:spacing w:line="360" w:lineRule="auto"/>
              <w:ind w:right="105" w:rightChars="50" w:firstLine="990" w:firstLineChars="5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噪声\粉尘达标排放</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提供了本公司的环境和安全管理方案和控制措施。基本符合。</w:t>
            </w: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保留“管理目标/指标分解考核表”，显示对管理目标进行了分解，2021年1-2020年4月所有目标均已完成。</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5" w:type="dxa"/>
          </w:tcPr>
          <w:p>
            <w:pPr>
              <w:rPr>
                <w:rFonts w:hint="eastAsia" w:ascii="宋体" w:hAnsi="宋体" w:cs="Arial"/>
                <w:spacing w:val="-6"/>
                <w:sz w:val="21"/>
                <w:szCs w:val="21"/>
              </w:rPr>
            </w:pPr>
            <w:r>
              <w:rPr>
                <w:rFonts w:hint="eastAsia" w:ascii="宋体" w:hAnsi="宋体" w:cs="Arial"/>
                <w:spacing w:val="-6"/>
                <w:sz w:val="21"/>
                <w:szCs w:val="21"/>
              </w:rPr>
              <w:t>资源总则</w:t>
            </w:r>
          </w:p>
        </w:tc>
        <w:tc>
          <w:tcPr>
            <w:tcW w:w="1155" w:type="dxa"/>
          </w:tcPr>
          <w:p>
            <w:pPr>
              <w:jc w:val="center"/>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QEO:7.1</w:t>
            </w:r>
          </w:p>
        </w:tc>
        <w:tc>
          <w:tcPr>
            <w:tcW w:w="10004" w:type="dxa"/>
          </w:tcPr>
          <w:p>
            <w:pPr>
              <w:adjustRightInd w:val="0"/>
              <w:snapToGrid w:val="0"/>
              <w:spacing w:line="360" w:lineRule="auto"/>
              <w:ind w:right="105" w:rightChars="5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江西阳光行动科技有限公司成立于2011年4月11日；注册资金18000万元；主要生产密集架、保险柜、枪弹柜、书架等产品。</w:t>
            </w:r>
          </w:p>
          <w:p>
            <w:pPr>
              <w:adjustRightInd w:val="0"/>
              <w:snapToGrid w:val="0"/>
              <w:spacing w:line="360" w:lineRule="auto"/>
              <w:ind w:right="105" w:rightChars="5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公司现有员工45人；</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公司主要设备包括：主要设备有激光切割机、智能折弯中心、焊接机器人、自动喷塑流水线、储气罐、起重设备、污水处理装置、除尘装置和配电柜等；</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主要检测设备有：</w:t>
            </w:r>
            <w:r>
              <w:rPr>
                <w:rFonts w:hint="eastAsia" w:ascii="Times New Roman" w:hAnsi="Times New Roman" w:eastAsia="宋体" w:cs="Times New Roman"/>
                <w:szCs w:val="22"/>
                <w:lang w:val="en-US" w:eastAsia="zh-CN"/>
              </w:rPr>
              <w:t>直角尺、焊接检验尺、钢卷尺、涂镀层测厚仪、外径千分尺、游标卡尺</w:t>
            </w:r>
            <w:r>
              <w:rPr>
                <w:rFonts w:hint="default" w:ascii="宋体" w:hAnsi="宋体" w:cs="Arial"/>
                <w:spacing w:val="-6"/>
                <w:sz w:val="21"/>
                <w:szCs w:val="21"/>
                <w:lang w:val="en-US" w:eastAsia="zh-CN"/>
              </w:rPr>
              <w:t>等</w:t>
            </w:r>
            <w:r>
              <w:rPr>
                <w:rFonts w:hint="eastAsia" w:ascii="宋体" w:hAnsi="宋体" w:cs="Arial"/>
                <w:spacing w:val="-6"/>
                <w:sz w:val="21"/>
                <w:szCs w:val="21"/>
                <w:lang w:val="en-US" w:eastAsia="zh-CN"/>
              </w:rPr>
              <w:t>；</w:t>
            </w: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确认公司目前人力资源、基础设施、销售人员、财力、信息等资源均能保证。公司厂房，库房、行政部、会议室，现场配备了灭火器、消防栓等消防安全设备，能保证企业正常办公。</w:t>
            </w: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公司财务能保证质量、环境、职业健康安全工作的开展，确保相关资金及时投入。</w:t>
            </w: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基本能满足体系运行的要求。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965" w:type="dxa"/>
          </w:tcPr>
          <w:p>
            <w:pPr>
              <w:rPr>
                <w:rFonts w:hint="eastAsia" w:ascii="宋体" w:hAnsi="宋体" w:cs="Arial"/>
                <w:spacing w:val="-6"/>
                <w:sz w:val="21"/>
                <w:szCs w:val="21"/>
              </w:rPr>
            </w:pPr>
            <w:r>
              <w:rPr>
                <w:rFonts w:hint="eastAsia" w:ascii="宋体" w:hAnsi="宋体" w:cs="Arial"/>
                <w:spacing w:val="-6"/>
                <w:sz w:val="21"/>
                <w:szCs w:val="21"/>
              </w:rPr>
              <w:t>沟通/信息交流</w:t>
            </w:r>
          </w:p>
        </w:tc>
        <w:tc>
          <w:tcPr>
            <w:tcW w:w="1155" w:type="dxa"/>
          </w:tcPr>
          <w:p>
            <w:pPr>
              <w:jc w:val="center"/>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QEO:7.4</w:t>
            </w:r>
          </w:p>
        </w:tc>
        <w:tc>
          <w:tcPr>
            <w:tcW w:w="10004" w:type="dxa"/>
          </w:tcPr>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编制了《信息交流、协商和沟通控制程序》，确了内部外部信息交流的内容及职责，包含重要环境因素、不可接受风险、管理方针、应急控制等的交流规定，基本符合。</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日常对于质量、环保、安全方面的信息主要利用会议、培训、座谈、电话、网络、收文等方式进行内外部沟通和协商。</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经交流，体系运行中，通过信息联络单、口头、电话、办公会议、生产现场协调会等方式进行内部沟通，通过宣贯培训让员工充分认识到质量环境、职业健康安全体系的要求。</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对外部相关方（供方、合同方、顾客、上级、社区、进入公司人员等）进行信息的交流方式：通过文件传真、接收通知、现场交流、合同协议、上网、施加影响等方式沟通协商，目前主要是接收上级通知；与供方通过合同就采购产品的环境、职业健康安全方面的要求进行沟通；同时将本公司的环境及职业健康安全方面的要求以及法律法规通告相关方。</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内部、外部沟通协商的机制已建立运行，有效。</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现场查见会议记录、通知通报、培训记录、文件签收等组织内部培训方式相关记录。</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1965" w:type="dxa"/>
          </w:tcPr>
          <w:p>
            <w:pPr>
              <w:rPr>
                <w:rFonts w:hint="eastAsia" w:ascii="宋体" w:hAnsi="宋体" w:cs="Arial"/>
                <w:spacing w:val="-6"/>
                <w:sz w:val="21"/>
                <w:szCs w:val="21"/>
              </w:rPr>
            </w:pPr>
            <w:r>
              <w:rPr>
                <w:rFonts w:hint="eastAsia" w:ascii="宋体" w:hAnsi="宋体" w:cs="Arial"/>
                <w:spacing w:val="-6"/>
                <w:sz w:val="21"/>
                <w:szCs w:val="21"/>
              </w:rPr>
              <w:t>管理评审</w:t>
            </w:r>
          </w:p>
        </w:tc>
        <w:tc>
          <w:tcPr>
            <w:tcW w:w="1155" w:type="dxa"/>
          </w:tcPr>
          <w:p>
            <w:pPr>
              <w:jc w:val="center"/>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QEO:9.3</w:t>
            </w:r>
          </w:p>
        </w:tc>
        <w:tc>
          <w:tcPr>
            <w:tcW w:w="10004" w:type="dxa"/>
          </w:tcPr>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2021年4月15日召开管理评审会议，由杨胜华总经理主持；</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保留管理评审计划、管理评审报告、管理评审会议纪要等；</w:t>
            </w: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管理评审输入充分；对上次管理评审的改进措施进行了跟踪；</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管理评审结论：管理体系的建立和运行是充分的、适宜的、有效的。</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改进措施要求：加强安全生产的控制；</w:t>
            </w: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制定有“管理评审改进措施计划”。</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965" w:type="dxa"/>
          </w:tcPr>
          <w:p>
            <w:pPr>
              <w:rPr>
                <w:rFonts w:hint="eastAsia" w:ascii="宋体" w:hAnsi="宋体" w:cs="Arial"/>
                <w:spacing w:val="-6"/>
                <w:sz w:val="21"/>
                <w:szCs w:val="21"/>
              </w:rPr>
            </w:pPr>
            <w:r>
              <w:rPr>
                <w:rFonts w:hint="eastAsia" w:ascii="宋体" w:hAnsi="宋体" w:cs="Arial"/>
                <w:spacing w:val="-6"/>
                <w:sz w:val="21"/>
                <w:szCs w:val="21"/>
              </w:rPr>
              <w:t>改进</w:t>
            </w:r>
          </w:p>
          <w:p>
            <w:pPr>
              <w:rPr>
                <w:rFonts w:hint="eastAsia" w:ascii="宋体" w:hAnsi="宋体" w:cs="Arial"/>
                <w:spacing w:val="-6"/>
                <w:sz w:val="21"/>
                <w:szCs w:val="21"/>
              </w:rPr>
            </w:pPr>
            <w:r>
              <w:rPr>
                <w:rFonts w:hint="eastAsia" w:ascii="宋体" w:hAnsi="宋体" w:cs="Arial"/>
                <w:spacing w:val="-6"/>
                <w:sz w:val="21"/>
                <w:szCs w:val="21"/>
              </w:rPr>
              <w:t>持续改进</w:t>
            </w:r>
          </w:p>
        </w:tc>
        <w:tc>
          <w:tcPr>
            <w:tcW w:w="1155" w:type="dxa"/>
          </w:tcPr>
          <w:p>
            <w:pPr>
              <w:jc w:val="center"/>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QEO:10.1</w:t>
            </w:r>
          </w:p>
          <w:p>
            <w:pPr>
              <w:jc w:val="center"/>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10.3</w:t>
            </w:r>
          </w:p>
        </w:tc>
        <w:tc>
          <w:tcPr>
            <w:tcW w:w="10004" w:type="dxa"/>
          </w:tcPr>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65" w:type="dxa"/>
            <w:vAlign w:val="top"/>
          </w:tcPr>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协商与参与</w:t>
            </w:r>
          </w:p>
        </w:tc>
        <w:tc>
          <w:tcPr>
            <w:tcW w:w="1155" w:type="dxa"/>
            <w:vAlign w:val="top"/>
          </w:tcPr>
          <w:p>
            <w:pPr>
              <w:rPr>
                <w:rFonts w:hint="default" w:ascii="Times New Roman" w:hAnsi="Times New Roman" w:eastAsia="宋体" w:cs="Times New Roman"/>
                <w:kern w:val="2"/>
                <w:sz w:val="21"/>
                <w:lang w:val="en-US" w:eastAsia="zh-CN" w:bidi="ar-SA"/>
              </w:rPr>
            </w:pPr>
            <w:r>
              <w:rPr>
                <w:rFonts w:hint="eastAsia" w:ascii="宋体" w:hAnsi="宋体" w:cs="Arial"/>
                <w:spacing w:val="-6"/>
                <w:sz w:val="21"/>
                <w:szCs w:val="21"/>
                <w:lang w:val="en-US" w:eastAsia="zh-CN"/>
              </w:rPr>
              <w:t>O：5.4</w:t>
            </w:r>
          </w:p>
        </w:tc>
        <w:tc>
          <w:tcPr>
            <w:tcW w:w="10004" w:type="dxa"/>
          </w:tcPr>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公司经选举确定职业健康安全事务代表是皮俊辉，与其座谈：其清楚自己的职责：负责向管理层反映职工职业健康安全管理方面的要求，对事件的调查、处理，职工劳动防护的改善事宜进行协商交流；参与职业安全健康方针、目标、指标、管理方案的制定工作，提出合理化建议。</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通过员工代表的积极争取，员工的劳保用品得到合理配备并及时发放；每年为一线职工体检一次等。</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相关人员能够适当参与并协商办理公司经营管理及安全事务等工作：参与了危险源辨识、风险和机遇评价和控制措施的确定，在确定相关方的需求和期望时进行了适当的协商，共同参与了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965" w:type="dxa"/>
            <w:vAlign w:val="top"/>
          </w:tcPr>
          <w:p>
            <w:pPr>
              <w:rPr>
                <w:rFonts w:hint="eastAsia" w:ascii="宋体" w:hAnsi="宋体" w:cs="Arial"/>
                <w:spacing w:val="-6"/>
                <w:sz w:val="21"/>
                <w:szCs w:val="21"/>
                <w:lang w:val="en-US" w:eastAsia="zh-CN"/>
              </w:rPr>
            </w:pPr>
            <w:r>
              <w:rPr>
                <w:rFonts w:hint="eastAsia" w:ascii="宋体" w:hAnsi="宋体" w:cs="Arial"/>
                <w:spacing w:val="-6"/>
                <w:sz w:val="21"/>
                <w:szCs w:val="21"/>
              </w:rPr>
              <w:t>投诉或事故、监督抽查情况</w:t>
            </w:r>
          </w:p>
        </w:tc>
        <w:tc>
          <w:tcPr>
            <w:tcW w:w="1155" w:type="dxa"/>
          </w:tcPr>
          <w:p>
            <w:pPr>
              <w:rPr>
                <w:rFonts w:hint="default" w:eastAsia="宋体"/>
                <w:lang w:val="en-US" w:eastAsia="zh-CN"/>
              </w:rPr>
            </w:pPr>
          </w:p>
        </w:tc>
        <w:tc>
          <w:tcPr>
            <w:tcW w:w="10004" w:type="dxa"/>
          </w:tcPr>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自公司成立以来，未受到上级主管部门有关质量、环境问题、职业健康安全的行政处罚。</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监察发现的一般问题及时进行整改；未发生相关方的投诉。</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暂时没有国家/地方抽查情况。</w:t>
            </w:r>
          </w:p>
          <w:p>
            <w:pPr>
              <w:adjustRightInd w:val="0"/>
              <w:snapToGrid w:val="0"/>
              <w:spacing w:line="360" w:lineRule="auto"/>
              <w:ind w:right="105" w:rightChars="5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目前没有相关行政主管部门的检查处罚，在审核现场也未发现抽查、相关方投诉等情况。</w:t>
            </w:r>
          </w:p>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通过发放顾客满意度调查，经统计分析，顾客满意度为97.3分。</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965" w:type="dxa"/>
            <w:vAlign w:val="top"/>
          </w:tcPr>
          <w:p>
            <w:pPr>
              <w:rPr>
                <w:rFonts w:hint="eastAsia" w:ascii="宋体" w:hAnsi="宋体" w:eastAsia="宋体" w:cs="Arial"/>
                <w:spacing w:val="-6"/>
                <w:kern w:val="2"/>
                <w:sz w:val="21"/>
                <w:szCs w:val="21"/>
                <w:highlight w:val="none"/>
                <w:lang w:val="en-US" w:eastAsia="zh-CN" w:bidi="ar-SA"/>
              </w:rPr>
            </w:pPr>
            <w:r>
              <w:rPr>
                <w:rFonts w:hint="eastAsia" w:ascii="宋体" w:hAnsi="宋体" w:cs="Arial"/>
                <w:spacing w:val="-6"/>
                <w:sz w:val="21"/>
                <w:szCs w:val="21"/>
              </w:rPr>
              <w:t>标准/规范/法规的执行情况</w:t>
            </w:r>
          </w:p>
        </w:tc>
        <w:tc>
          <w:tcPr>
            <w:tcW w:w="1155" w:type="dxa"/>
          </w:tcPr>
          <w:p>
            <w:pPr>
              <w:rPr>
                <w:rFonts w:hint="default" w:eastAsia="宋体"/>
                <w:lang w:val="en-US" w:eastAsia="zh-CN"/>
              </w:rPr>
            </w:pPr>
          </w:p>
        </w:tc>
        <w:tc>
          <w:tcPr>
            <w:tcW w:w="10004" w:type="dxa"/>
          </w:tcPr>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未发生重大质量事故、安全、环境保护事故，遵守法律法规要求。进行合规评价，没有违反国家法律、法规及相关标准，能严格遵守国家有关环境和职业健康安全管理方面的相关规定，密切关注法律法规的变化，并适时调整，严格按体系标准执行。</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965" w:type="dxa"/>
            <w:vAlign w:val="top"/>
          </w:tcPr>
          <w:p>
            <w:pPr>
              <w:rPr>
                <w:rFonts w:hint="eastAsia" w:ascii="宋体" w:hAnsi="宋体" w:cs="Arial"/>
                <w:spacing w:val="-6"/>
                <w:sz w:val="21"/>
                <w:szCs w:val="21"/>
                <w:lang w:val="en-US" w:eastAsia="zh-CN"/>
              </w:rPr>
            </w:pPr>
            <w:r>
              <w:rPr>
                <w:rFonts w:hint="eastAsia" w:ascii="宋体" w:hAnsi="宋体" w:cs="Arial"/>
                <w:spacing w:val="-6"/>
                <w:sz w:val="21"/>
                <w:szCs w:val="21"/>
              </w:rPr>
              <w:t>验证资质</w:t>
            </w:r>
          </w:p>
        </w:tc>
        <w:tc>
          <w:tcPr>
            <w:tcW w:w="1155" w:type="dxa"/>
          </w:tcPr>
          <w:p/>
        </w:tc>
        <w:tc>
          <w:tcPr>
            <w:tcW w:w="10004" w:type="dxa"/>
          </w:tcPr>
          <w:p>
            <w:pPr>
              <w:adjustRightInd w:val="0"/>
              <w:snapToGrid w:val="0"/>
              <w:spacing w:line="360" w:lineRule="auto"/>
              <w:ind w:right="105" w:rightChars="50"/>
              <w:textAlignment w:val="baseline"/>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经查验营业执照有效。信用平台查询，无不良信息。</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5" w:type="dxa"/>
            <w:vAlign w:val="top"/>
          </w:tcPr>
          <w:p>
            <w:pPr>
              <w:rPr>
                <w:rFonts w:hint="eastAsia" w:ascii="宋体" w:hAnsi="宋体" w:cs="Arial"/>
                <w:spacing w:val="-6"/>
                <w:sz w:val="21"/>
                <w:szCs w:val="21"/>
                <w:highlight w:val="yellow"/>
                <w:lang w:val="en-US" w:eastAsia="zh-CN"/>
              </w:rPr>
            </w:pPr>
            <w:r>
              <w:rPr>
                <w:rFonts w:hint="eastAsia" w:ascii="宋体" w:hAnsi="宋体" w:cs="Arial"/>
                <w:spacing w:val="-6"/>
                <w:sz w:val="21"/>
                <w:szCs w:val="21"/>
              </w:rPr>
              <w:t>上次审核不符合项的验证</w:t>
            </w:r>
          </w:p>
        </w:tc>
        <w:tc>
          <w:tcPr>
            <w:tcW w:w="1155" w:type="dxa"/>
          </w:tcPr>
          <w:p>
            <w:pPr>
              <w:rPr>
                <w:highlight w:val="yellow"/>
              </w:rPr>
            </w:pPr>
          </w:p>
        </w:tc>
        <w:tc>
          <w:tcPr>
            <w:tcW w:w="10004" w:type="dxa"/>
          </w:tcPr>
          <w:p>
            <w:pPr>
              <w:adjustRightInd w:val="0"/>
              <w:snapToGrid w:val="0"/>
              <w:spacing w:line="360" w:lineRule="auto"/>
              <w:ind w:right="105" w:rightChars="50"/>
              <w:textAlignment w:val="baseline"/>
              <w:rPr>
                <w:rFonts w:hint="default"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上次审核时发现的问题，经现场验证已关闭，整改措施有效。具体见下：</w:t>
            </w:r>
          </w:p>
          <w:p>
            <w:pPr>
              <w:numPr>
                <w:ilvl w:val="0"/>
                <w:numId w:val="1"/>
              </w:num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查看化学物品存放仓库，发现堆放有无磷脱脂助剂和硅烷处理剂，但不能提供相关的MSDS，不符合要求；</w:t>
            </w:r>
          </w:p>
          <w:p>
            <w:pPr>
              <w:numPr>
                <w:ilvl w:val="0"/>
                <w:numId w:val="1"/>
              </w:numPr>
              <w:adjustRightInd w:val="0"/>
              <w:snapToGrid w:val="0"/>
              <w:spacing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未提供供应商“樟树市欣盛包装有限公司”的调查评价记录，不符合要求。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5" w:type="dxa"/>
            <w:vAlign w:val="top"/>
          </w:tcPr>
          <w:p>
            <w:pPr>
              <w:rPr>
                <w:rFonts w:hint="eastAsia" w:ascii="宋体" w:hAnsi="宋体" w:cs="Arial"/>
                <w:spacing w:val="-6"/>
                <w:sz w:val="21"/>
                <w:szCs w:val="21"/>
              </w:rPr>
            </w:pPr>
            <w:r>
              <w:rPr>
                <w:rFonts w:hint="eastAsia" w:ascii="宋体" w:hAnsi="宋体" w:cs="Arial"/>
                <w:spacing w:val="-6"/>
                <w:sz w:val="21"/>
                <w:szCs w:val="21"/>
              </w:rPr>
              <w:t>认证证书、标志的使用情况</w:t>
            </w:r>
          </w:p>
        </w:tc>
        <w:tc>
          <w:tcPr>
            <w:tcW w:w="1155" w:type="dxa"/>
          </w:tcPr>
          <w:p>
            <w:pPr>
              <w:rPr>
                <w:highlight w:val="yellow"/>
              </w:rPr>
            </w:pPr>
          </w:p>
        </w:tc>
        <w:tc>
          <w:tcPr>
            <w:tcW w:w="10004" w:type="dxa"/>
          </w:tcPr>
          <w:p>
            <w:pPr>
              <w:adjustRightInd w:val="0"/>
              <w:snapToGrid w:val="0"/>
              <w:spacing w:line="360" w:lineRule="auto"/>
              <w:ind w:right="105" w:rightChars="50"/>
              <w:textAlignment w:val="baseline"/>
              <w:rPr>
                <w:rFonts w:hint="default"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证书、标志用于招投标，符合要求。</w:t>
            </w:r>
          </w:p>
        </w:tc>
        <w:tc>
          <w:tcPr>
            <w:tcW w:w="1585" w:type="dxa"/>
          </w:tcPr>
          <w:p>
            <w:pPr>
              <w:rPr>
                <w:rFonts w:hint="default"/>
                <w:lang w:val="en-US" w:eastAsia="zh-CN"/>
              </w:rPr>
            </w:pPr>
            <w:r>
              <w:rPr>
                <w:rFonts w:hint="eastAsia"/>
                <w:lang w:val="en-US" w:eastAsia="zh-CN"/>
              </w:rPr>
              <w:t>Y</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0"/>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6044D"/>
    <w:multiLevelType w:val="singleLevel"/>
    <w:tmpl w:val="46A6044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A75E2"/>
    <w:rsid w:val="0B504A2F"/>
    <w:rsid w:val="0C6020E9"/>
    <w:rsid w:val="19E00BC6"/>
    <w:rsid w:val="20DB3176"/>
    <w:rsid w:val="2101701B"/>
    <w:rsid w:val="2F0D17EF"/>
    <w:rsid w:val="579A7D23"/>
    <w:rsid w:val="6C435711"/>
    <w:rsid w:val="725F6FA8"/>
    <w:rsid w:val="72F42230"/>
    <w:rsid w:val="7E8114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2021-05-26T08:15:32Z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