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404"/>
        <w:gridCol w:w="1404"/>
        <w:gridCol w:w="1404"/>
        <w:gridCol w:w="1483"/>
        <w:gridCol w:w="1225"/>
        <w:gridCol w:w="15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69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bookmarkStart w:id="6" w:name="_GoBack"/>
            <w:r>
              <w:rPr>
                <w:b/>
                <w:sz w:val="20"/>
              </w:rPr>
              <w:t>江西阳光行动科技有限公司</w:t>
            </w:r>
            <w:bookmarkEnd w:id="4"/>
            <w:bookmarkEnd w:id="6"/>
          </w:p>
        </w:tc>
        <w:tc>
          <w:tcPr>
            <w:tcW w:w="1225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0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Q：23.01.01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b/>
                <w:sz w:val="20"/>
              </w:rPr>
              <w:t>23.01.04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b/>
                <w:sz w:val="20"/>
              </w:rPr>
              <w:t>28.08.02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E：23.01.01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b/>
                <w:sz w:val="20"/>
              </w:rPr>
              <w:t>23.01.04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b/>
                <w:sz w:val="20"/>
              </w:rPr>
              <w:t>28.08.02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O：23.01.01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b/>
                <w:sz w:val="20"/>
              </w:rPr>
              <w:t>23.01.04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b/>
                <w:sz w:val="20"/>
              </w:rPr>
              <w:t>28.08.02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80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付永龙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83" w:type="dxa"/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b/>
                <w:sz w:val="20"/>
              </w:rPr>
              <w:t>Q：23.01.01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b/>
                <w:sz w:val="20"/>
              </w:rPr>
              <w:t>23.01.04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28.08.02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b/>
                <w:sz w:val="20"/>
              </w:rPr>
              <w:t>E：23.01.01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b/>
                <w:sz w:val="20"/>
              </w:rPr>
              <w:t>23.01.04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28.08.02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b/>
                <w:sz w:val="20"/>
              </w:rPr>
              <w:t>O：23.01.01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b/>
                <w:sz w:val="20"/>
              </w:rPr>
              <w:t>23.01.04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28.08.02</w:t>
            </w:r>
          </w:p>
        </w:tc>
        <w:tc>
          <w:tcPr>
            <w:tcW w:w="12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褚敏杰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beforeLines="20" w:afterLines="20" w:line="3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生产过程：</w:t>
            </w:r>
          </w:p>
          <w:p>
            <w:pPr>
              <w:snapToGrid w:val="0"/>
              <w:spacing w:beforeLines="20" w:afterLines="20" w:line="3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切割下料→冲压→折弯→焊接→打磨表面处理→喷涂烘干→组装→包装→成品入库</w:t>
            </w:r>
          </w:p>
          <w:p>
            <w:pPr>
              <w:snapToGrid w:val="0"/>
              <w:spacing w:beforeLines="20" w:afterLines="20" w:line="320" w:lineRule="exact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安装过程：</w:t>
            </w:r>
          </w:p>
          <w:p>
            <w:pPr>
              <w:snapToGrid w:val="0"/>
              <w:spacing w:beforeLines="20" w:afterLines="20" w:line="320" w:lineRule="exact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任务下达——现场安装——客户确认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beforeLines="20" w:afterLines="20" w:line="32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需确认过程是：焊接过程、喷塑过程</w:t>
            </w:r>
          </w:p>
          <w:p>
            <w:pPr>
              <w:snapToGrid w:val="0"/>
              <w:spacing w:beforeLines="20" w:afterLines="20" w:line="320" w:lineRule="exact"/>
              <w:jc w:val="left"/>
              <w:rPr>
                <w:rFonts w:hint="eastAsia"/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控制措施：确认人员能力、设备状态，按照操作规程开展作业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Cs/>
                <w:sz w:val="20"/>
              </w:rPr>
              <w:t>焊接过程主要是控制电焊机电流电压焊丝直径，喷塑过程主要是控制色差、气压、喷嘴距离、温度、时间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beforeLines="20" w:afterLines="20" w:line="32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重大环境因素：潜在火灾，噪音排放、废气/粉尘排放、废水排放、固废排放；</w:t>
            </w:r>
          </w:p>
          <w:p>
            <w:pPr>
              <w:snapToGrid w:val="0"/>
              <w:spacing w:beforeLines="20" w:afterLines="20" w:line="3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控制措施：一般固废集中收集外售至废品回收站；危废</w:t>
            </w:r>
            <w:r>
              <w:rPr>
                <w:rFonts w:hint="eastAsia"/>
                <w:bCs/>
                <w:sz w:val="20"/>
              </w:rPr>
              <w:t>委托有资质单位回收；</w:t>
            </w:r>
            <w:r>
              <w:rPr>
                <w:rFonts w:hint="eastAsia"/>
                <w:sz w:val="20"/>
              </w:rPr>
              <w:t>选用低噪声设备，合理布局，隔声减震，厂房隔音；设备、电路定期检修、不定期检查，提高安全意识；做好火灾预防措施。一旦发生按相关应急预案执行；制定目标、指标；设备、电路定期检修、降低跑冒滴漏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beforeLines="20" w:afterLines="20" w:line="32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不可接受风险：火灾，触电、粉尘伤害、噪声伤害、机械伤害；</w:t>
            </w:r>
          </w:p>
          <w:p>
            <w:pPr>
              <w:snapToGrid w:val="0"/>
              <w:spacing w:beforeLines="20" w:afterLines="20" w:line="3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控制措施：选用低噪声设备，合理布局，隔声减震；</w:t>
            </w:r>
            <w:r>
              <w:rPr>
                <w:rFonts w:hint="eastAsia"/>
                <w:bCs/>
                <w:sz w:val="20"/>
                <w:szCs w:val="22"/>
              </w:rPr>
              <w:t>设备加防护罩、</w:t>
            </w:r>
            <w:r>
              <w:rPr>
                <w:rFonts w:hint="eastAsia"/>
                <w:sz w:val="20"/>
              </w:rPr>
              <w:t>设备/电路定期检修、不定期检查，提高安全意识；做好火灾预防措施。一旦发生按相关应急预案执行；加强个体防护。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beforeLines="20" w:afterLines="20" w:line="3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中华人民共和国环保法、固体废物污染环境防治法、大气污染环境防治法，中华人民共和国安全生产法、劳动法、职业病防治法，金属家具通用技术条件GB/T3325-2017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beforeLines="20" w:afterLines="20" w:line="32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检验外观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规格</w:t>
            </w:r>
            <w:r>
              <w:rPr>
                <w:rFonts w:hint="eastAsia"/>
                <w:sz w:val="20"/>
              </w:rPr>
              <w:t>、性能、尺寸参数等，型式试验</w:t>
            </w:r>
            <w:r>
              <w:rPr>
                <w:rFonts w:hint="eastAsia"/>
                <w:sz w:val="20"/>
                <w:lang w:val="en-US" w:eastAsia="zh-CN"/>
              </w:rPr>
              <w:t>推荐每年一次</w:t>
            </w:r>
            <w:r>
              <w:rPr>
                <w:rFonts w:hint="eastAsia"/>
                <w:sz w:val="20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ascii="宋体"/>
          <w:b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1183005</wp:posOffset>
            </wp:positionH>
            <wp:positionV relativeFrom="paragraph">
              <wp:posOffset>99695</wp:posOffset>
            </wp:positionV>
            <wp:extent cx="783590" cy="367030"/>
            <wp:effectExtent l="0" t="0" r="16510" b="13970"/>
            <wp:wrapNone/>
            <wp:docPr id="2" name="图片 2" descr="傅永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傅永龙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B8B5B0">
                            <a:alpha val="100000"/>
                          </a:srgbClr>
                        </a:clrFrom>
                        <a:clrTo>
                          <a:srgbClr val="B8B5B0">
                            <a:alpha val="100000"/>
                            <a:alpha val="0"/>
                          </a:srgbClr>
                        </a:clrTo>
                      </a:clrChange>
                      <a:lum bright="6000"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kern w:val="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109855</wp:posOffset>
            </wp:positionV>
            <wp:extent cx="760730" cy="458470"/>
            <wp:effectExtent l="0" t="0" r="1270" b="17780"/>
            <wp:wrapNone/>
            <wp:docPr id="1" name="图片 2" descr="签名-褚敏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签名-褚敏杰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30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2021.5.22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   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2021.5.22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DF57871"/>
    <w:rsid w:val="2DAF0E70"/>
    <w:rsid w:val="4FC85F47"/>
    <w:rsid w:val="6FFC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3</TotalTime>
  <ScaleCrop>false</ScaleCrop>
  <LinksUpToDate>false</LinksUpToDate>
  <CharactersWithSpaces>312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2021-05-26T07:58:59Z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