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十堰市百懋科技发展有限公司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pStyle w:val="5"/>
        <w:rPr>
          <w:rFonts w:eastAsia="楷体_GB2312"/>
          <w:sz w:val="32"/>
        </w:rPr>
      </w:pPr>
    </w:p>
    <w:p>
      <w:pPr>
        <w:pStyle w:val="5"/>
        <w:rPr>
          <w:rFonts w:eastAsia="楷体_GB2312"/>
          <w:sz w:val="32"/>
        </w:rPr>
      </w:pPr>
    </w:p>
    <w:p>
      <w:pPr>
        <w:pStyle w:val="5"/>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陈俊</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b/>
                <w:sz w:val="21"/>
                <w:szCs w:val="21"/>
              </w:rPr>
            </w:pPr>
            <w:r>
              <w:rPr>
                <w:b/>
                <w:sz w:val="21"/>
                <w:szCs w:val="21"/>
              </w:rPr>
              <w:t>ISC-JSZJ-177</w:t>
            </w:r>
          </w:p>
          <w:p>
            <w:pPr>
              <w:jc w:val="center"/>
              <w:rPr>
                <w:b/>
                <w:sz w:val="21"/>
                <w:szCs w:val="21"/>
              </w:rPr>
            </w:pPr>
            <w:r>
              <w:rPr>
                <w:b/>
                <w:sz w:val="21"/>
                <w:szCs w:val="21"/>
              </w:rPr>
              <w:t>ISC-JSZJ-177</w:t>
            </w:r>
          </w:p>
          <w:p>
            <w:pPr>
              <w:jc w:val="center"/>
              <w:rPr>
                <w:b/>
                <w:sz w:val="21"/>
                <w:szCs w:val="21"/>
              </w:rPr>
            </w:pPr>
            <w:r>
              <w:rPr>
                <w:b/>
                <w:sz w:val="21"/>
                <w:szCs w:val="21"/>
              </w:rPr>
              <w:t>十堰龙智汇工贸有限公司</w:t>
            </w:r>
          </w:p>
        </w:tc>
        <w:tc>
          <w:tcPr>
            <w:tcW w:w="1728" w:type="dxa"/>
            <w:gridSpan w:val="2"/>
            <w:vAlign w:val="center"/>
          </w:tcPr>
          <w:p>
            <w:pPr>
              <w:jc w:val="center"/>
              <w:rPr>
                <w:b/>
                <w:sz w:val="21"/>
                <w:szCs w:val="21"/>
              </w:rPr>
            </w:pPr>
            <w:r>
              <w:rPr>
                <w:b/>
                <w:sz w:val="21"/>
                <w:szCs w:val="21"/>
              </w:rPr>
              <w:t>E:22.03.02</w:t>
            </w:r>
          </w:p>
          <w:p>
            <w:pPr>
              <w:jc w:val="center"/>
              <w:rPr>
                <w:b/>
                <w:sz w:val="21"/>
                <w:szCs w:val="21"/>
              </w:rPr>
            </w:pPr>
            <w:r>
              <w:rPr>
                <w:b/>
                <w:sz w:val="21"/>
                <w:szCs w:val="21"/>
              </w:rPr>
              <w:t>O:22.03.02</w:t>
            </w:r>
          </w:p>
        </w:tc>
        <w:tc>
          <w:tcPr>
            <w:tcW w:w="1729" w:type="dxa"/>
            <w:gridSpan w:val="2"/>
            <w:vAlign w:val="center"/>
          </w:tcPr>
          <w:p>
            <w:pPr>
              <w:jc w:val="center"/>
              <w:rPr>
                <w:b/>
                <w:sz w:val="21"/>
                <w:szCs w:val="21"/>
              </w:rPr>
            </w:pPr>
            <w:r>
              <w:rPr>
                <w:b/>
                <w:sz w:val="21"/>
                <w:szCs w:val="21"/>
              </w:rPr>
              <w:t>ISC-JSZJ-177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1277" w:type="dxa"/>
            <w:vAlign w:val="center"/>
          </w:tcPr>
          <w:p>
            <w:pPr>
              <w:jc w:val="center"/>
              <w:rPr>
                <w:b/>
                <w:sz w:val="21"/>
                <w:szCs w:val="21"/>
              </w:rPr>
            </w:pPr>
          </w:p>
        </w:tc>
        <w:tc>
          <w:tcPr>
            <w:tcW w:w="1699" w:type="dxa"/>
            <w:vAlign w:val="center"/>
          </w:tcPr>
          <w:p>
            <w:pPr>
              <w:jc w:val="center"/>
              <w:rPr>
                <w:b/>
                <w:sz w:val="21"/>
                <w:szCs w:val="21"/>
              </w:rPr>
            </w:pP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top"/>
          </w:tcPr>
          <w:p>
            <w:pPr>
              <w:spacing w:line="260" w:lineRule="exact"/>
              <w:rPr>
                <w:rFonts w:ascii="宋体"/>
                <w:b/>
                <w:color w:val="FF0000"/>
                <w:sz w:val="21"/>
              </w:rPr>
            </w:pPr>
            <w:r>
              <w:rPr>
                <w:rFonts w:ascii="宋体"/>
                <w:b/>
                <w:color w:val="FF0000"/>
                <w:sz w:val="21"/>
              </w:rPr>
              <w:t>十堰市百懋科技发展有限公司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vAlign w:val="top"/>
          </w:tcPr>
          <w:p>
            <w:pPr>
              <w:spacing w:line="260" w:lineRule="exact"/>
              <w:rPr>
                <w:rFonts w:hint="default" w:ascii="宋体" w:eastAsia="宋体"/>
                <w:b/>
                <w:sz w:val="21"/>
                <w:lang w:val="en-US" w:eastAsia="zh-CN"/>
              </w:rPr>
            </w:pPr>
            <w:r>
              <w:rPr>
                <w:rFonts w:hint="eastAsia" w:ascii="宋体"/>
                <w:b/>
                <w:sz w:val="21"/>
                <w:lang w:val="en-US" w:eastAsia="zh-CN"/>
              </w:rPr>
              <w:t>核实人数25人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top"/>
          </w:tcPr>
          <w:p>
            <w:pPr>
              <w:rPr>
                <w:rFonts w:ascii="宋体"/>
                <w:b/>
                <w:sz w:val="21"/>
              </w:rPr>
            </w:pPr>
            <w:r>
              <w:rPr>
                <w:rFonts w:ascii="宋体"/>
                <w:b/>
                <w:sz w:val="21"/>
              </w:rPr>
              <w:t>十堰市普林南路18号</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Align w:val="top"/>
          </w:tcPr>
          <w:p>
            <w:pPr>
              <w:rPr>
                <w:rFonts w:ascii="宋体"/>
                <w:b/>
                <w:sz w:val="21"/>
              </w:rPr>
            </w:pPr>
            <w:r>
              <w:rPr>
                <w:rFonts w:ascii="宋体"/>
                <w:b/>
                <w:sz w:val="21"/>
              </w:rPr>
              <w:t>442100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vAlign w:val="top"/>
          </w:tcPr>
          <w:p>
            <w:pPr>
              <w:rPr>
                <w:rFonts w:ascii="宋体"/>
                <w:b/>
                <w:sz w:val="21"/>
              </w:rPr>
            </w:pPr>
            <w:r>
              <w:rPr>
                <w:rFonts w:ascii="宋体"/>
                <w:b/>
                <w:sz w:val="21"/>
              </w:rPr>
              <w:t>十堰市普林南路18号</w:t>
            </w:r>
          </w:p>
        </w:tc>
        <w:tc>
          <w:tcPr>
            <w:tcW w:w="1672" w:type="dxa"/>
            <w:vMerge w:val="continue"/>
            <w:vAlign w:val="center"/>
          </w:tcPr>
          <w:p>
            <w:pPr>
              <w:jc w:val="center"/>
              <w:rPr>
                <w:rFonts w:ascii="宋体"/>
                <w:b/>
                <w:sz w:val="21"/>
              </w:rPr>
            </w:pPr>
          </w:p>
        </w:tc>
        <w:tc>
          <w:tcPr>
            <w:tcW w:w="1500" w:type="dxa"/>
            <w:vAlign w:val="top"/>
          </w:tcPr>
          <w:p>
            <w:pPr>
              <w:rPr>
                <w:rFonts w:ascii="宋体"/>
                <w:b/>
                <w:sz w:val="21"/>
              </w:rPr>
            </w:pPr>
            <w:r>
              <w:rPr>
                <w:rFonts w:ascii="宋体"/>
                <w:b/>
                <w:sz w:val="21"/>
              </w:rPr>
              <w:t>442100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ascii="宋体"/>
                <w:b/>
                <w:sz w:val="21"/>
              </w:rPr>
              <w:t>十堰市普林南路18号</w:t>
            </w:r>
          </w:p>
        </w:tc>
        <w:tc>
          <w:tcPr>
            <w:tcW w:w="1672" w:type="dxa"/>
            <w:vMerge w:val="continue"/>
            <w:vAlign w:val="center"/>
          </w:tcPr>
          <w:p>
            <w:pPr>
              <w:jc w:val="center"/>
              <w:rPr>
                <w:rFonts w:ascii="宋体"/>
                <w:b/>
                <w:sz w:val="21"/>
              </w:rPr>
            </w:pPr>
          </w:p>
        </w:tc>
        <w:tc>
          <w:tcPr>
            <w:tcW w:w="1500" w:type="dxa"/>
          </w:tcPr>
          <w:p>
            <w:pPr>
              <w:rPr>
                <w:rFonts w:ascii="宋体"/>
                <w:b/>
                <w:sz w:val="21"/>
              </w:rPr>
            </w:pPr>
            <w:r>
              <w:rPr>
                <w:rFonts w:ascii="宋体"/>
                <w:b/>
                <w:sz w:val="21"/>
              </w:rPr>
              <w:t>442100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top"/>
          </w:tcPr>
          <w:p>
            <w:pPr>
              <w:rPr>
                <w:rFonts w:ascii="宋体"/>
                <w:b/>
                <w:sz w:val="21"/>
              </w:rPr>
            </w:pPr>
            <w:r>
              <w:rPr>
                <w:rFonts w:ascii="宋体"/>
                <w:b/>
                <w:sz w:val="21"/>
              </w:rPr>
              <w:t>韩瑜</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r>
              <w:rPr>
                <w:rFonts w:ascii="宋体"/>
                <w:b/>
                <w:sz w:val="21"/>
              </w:rPr>
              <w:t>13872838738</w:t>
            </w:r>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top"/>
          </w:tcPr>
          <w:p>
            <w:pPr>
              <w:rPr>
                <w:rFonts w:ascii="宋体" w:hAnsi="宋体"/>
                <w:b/>
                <w:sz w:val="21"/>
                <w:szCs w:val="21"/>
              </w:rPr>
            </w:pPr>
            <w:r>
              <w:rPr>
                <w:rFonts w:ascii="宋体" w:hAnsi="宋体"/>
                <w:b/>
                <w:sz w:val="21"/>
                <w:szCs w:val="21"/>
              </w:rPr>
              <w:t>何绍勇</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top"/>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top"/>
          </w:tcPr>
          <w:p>
            <w:pPr>
              <w:rPr>
                <w:rFonts w:ascii="宋体"/>
                <w:b/>
                <w:sz w:val="21"/>
              </w:rPr>
            </w:pPr>
            <w:r>
              <w:rPr>
                <w:rFonts w:ascii="宋体"/>
                <w:b/>
                <w:sz w:val="21"/>
              </w:rPr>
              <w:t>杨瑞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1" w:name="审核日期"/>
            <w:r>
              <w:rPr>
                <w:rFonts w:ascii="宋体" w:hAnsi="宋体"/>
                <w:b/>
                <w:sz w:val="21"/>
                <w:szCs w:val="21"/>
              </w:rPr>
              <w:t>2021年04月0</w:t>
            </w:r>
            <w:r>
              <w:rPr>
                <w:rFonts w:hint="eastAsia" w:ascii="宋体" w:hAnsi="宋体"/>
                <w:b/>
                <w:sz w:val="21"/>
                <w:szCs w:val="21"/>
                <w:lang w:val="en-US" w:eastAsia="zh-CN"/>
              </w:rPr>
              <w:t>6</w:t>
            </w:r>
            <w:r>
              <w:rPr>
                <w:rFonts w:ascii="宋体" w:hAnsi="宋体"/>
                <w:b/>
                <w:sz w:val="21"/>
                <w:szCs w:val="21"/>
              </w:rPr>
              <w:t>日 上午至2021年04月0</w:t>
            </w:r>
            <w:r>
              <w:rPr>
                <w:rFonts w:hint="eastAsia" w:ascii="宋体" w:hAnsi="宋体"/>
                <w:b/>
                <w:sz w:val="21"/>
                <w:szCs w:val="21"/>
                <w:lang w:val="en-US" w:eastAsia="zh-CN"/>
              </w:rPr>
              <w:t>6</w:t>
            </w:r>
            <w:r>
              <w:rPr>
                <w:rFonts w:ascii="宋体" w:hAnsi="宋体"/>
                <w:b/>
                <w:sz w:val="21"/>
                <w:szCs w:val="21"/>
              </w:rPr>
              <w:t>日 上午</w:t>
            </w:r>
            <w:bookmarkEnd w:id="1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12" w:name="审核范围"/>
            <w:r>
              <w:rPr>
                <w:rFonts w:hint="eastAsia" w:ascii="宋体" w:hAnsi="宋体"/>
              </w:rPr>
              <w:t>E：车用传感器及车门玻璃升降器的组装加工及相关环境管理活动</w:t>
            </w:r>
          </w:p>
          <w:p>
            <w:pPr>
              <w:spacing w:line="360" w:lineRule="exact"/>
              <w:rPr>
                <w:rFonts w:ascii="宋体" w:hAnsi="宋体"/>
                <w:b/>
                <w:sz w:val="21"/>
                <w:szCs w:val="21"/>
              </w:rPr>
            </w:pPr>
            <w:r>
              <w:rPr>
                <w:rFonts w:hint="eastAsia" w:ascii="宋体" w:hAnsi="宋体"/>
              </w:rPr>
              <w:t>O：车用传感器及车门玻璃升降器的组装加工及相关职业健康安全管理活动</w:t>
            </w:r>
            <w:bookmarkEnd w:id="12"/>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rPr>
                <w:b/>
                <w:szCs w:val="21"/>
              </w:rPr>
            </w:pPr>
            <w:bookmarkStart w:id="13" w:name="专业代码"/>
            <w:r>
              <w:rPr>
                <w:b/>
                <w:szCs w:val="21"/>
              </w:rPr>
              <w:t>E：22.03.02</w:t>
            </w:r>
          </w:p>
          <w:p>
            <w:pPr>
              <w:spacing w:line="260" w:lineRule="exact"/>
              <w:rPr>
                <w:rFonts w:ascii="宋体" w:hAnsi="宋体"/>
                <w:b/>
                <w:sz w:val="21"/>
                <w:szCs w:val="21"/>
              </w:rPr>
            </w:pPr>
            <w:r>
              <w:rPr>
                <w:b/>
                <w:szCs w:val="21"/>
              </w:rPr>
              <w:t>O：22.03.02</w:t>
            </w:r>
            <w:bookmarkEnd w:id="1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2022-7-31</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rPr>
                <w:rFonts w:hint="eastAsia" w:eastAsia="宋体"/>
                <w:b/>
                <w:szCs w:val="21"/>
                <w:lang w:val="en-US" w:eastAsia="zh-CN"/>
              </w:rPr>
            </w:pPr>
          </w:p>
          <w:p>
            <w:pPr>
              <w:rPr>
                <w:rFonts w:ascii="宋体"/>
                <w:b/>
                <w:sz w:val="21"/>
              </w:rPr>
            </w:pPr>
            <w:r>
              <w:rPr>
                <w:rFonts w:eastAsia="宋体"/>
                <w:b/>
                <w:szCs w:val="21"/>
              </w:rPr>
              <w:t>2019-07-21 -- 2019-07-24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24</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pStyle w:val="2"/>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十堰市百懋科技发展有限公司,2009年03月10日成立，经营范围包括汽车零部件加工、销售；汽车电器、随车工具生产、销售。公司的主要客户群为全国各地的铁路施工单位，国企、央企；公司采用总经理负责制，层层把关，让用户真正放心</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Times New Roman" w:hAnsi="Times New Roman" w:eastAsia="宋体" w:cs="Times New Roman"/>
                <w:bCs w:val="0"/>
                <w:color w:val="000000" w:themeColor="text1"/>
                <w:spacing w:val="0"/>
                <w:kern w:val="2"/>
                <w:sz w:val="21"/>
                <w:szCs w:val="21"/>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tabs>
                <w:tab w:val="left" w:pos="720"/>
                <w:tab w:val="clear" w:pos="312"/>
              </w:tabs>
              <w:spacing w:line="4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hint="eastAsia"/>
              </w:rPr>
            </w:pPr>
            <w:r>
              <w:rPr>
                <w:rFonts w:hint="eastAsia"/>
              </w:rPr>
              <w:t xml:space="preserve">环境方针  </w:t>
            </w:r>
            <w:r>
              <w:rPr>
                <w:rFonts w:hint="eastAsia"/>
                <w:b/>
                <w:bCs/>
              </w:rPr>
              <w:t>节能减排  防止污染 保护环境</w:t>
            </w:r>
          </w:p>
          <w:p>
            <w:pPr>
              <w:rPr>
                <w:rFonts w:hint="eastAsia"/>
                <w:b/>
                <w:bCs/>
              </w:rPr>
            </w:pPr>
            <w:r>
              <w:rPr>
                <w:rFonts w:hint="eastAsia"/>
              </w:rPr>
              <w:t xml:space="preserve">职业健康安全方针  </w:t>
            </w:r>
            <w:r>
              <w:rPr>
                <w:rFonts w:hint="eastAsia"/>
                <w:b/>
                <w:bCs/>
              </w:rPr>
              <w:t>安全至上 全员参与 持续改进</w:t>
            </w:r>
          </w:p>
          <w:p>
            <w:pPr>
              <w:pStyle w:val="2"/>
            </w:pPr>
            <w:r>
              <w:rPr>
                <w:rFonts w:hint="eastAsia"/>
                <w:color w:val="000000"/>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spacing w:line="300" w:lineRule="exact"/>
              <w:rPr>
                <w:rFonts w:ascii="宋体" w:hAnsi="宋体"/>
                <w:b/>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、机械伤害、</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pStyle w:val="2"/>
              <w:rPr>
                <w:rFonts w:ascii="宋体" w:hAnsi="宋体"/>
                <w:b/>
                <w:sz w:val="21"/>
                <w:szCs w:val="21"/>
              </w:rPr>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90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bCs/>
                <w:szCs w:val="21"/>
              </w:rPr>
            </w:pPr>
          </w:p>
          <w:p>
            <w:pPr>
              <w:tabs>
                <w:tab w:val="left" w:pos="540"/>
              </w:tabs>
              <w:spacing w:line="240" w:lineRule="exact"/>
              <w:rPr>
                <w:rFonts w:ascii="宋体" w:hAnsi="宋体"/>
                <w:b/>
                <w:sz w:val="21"/>
                <w:szCs w:val="21"/>
              </w:rPr>
            </w:pPr>
            <w:r>
              <w:rPr>
                <w:rFonts w:hint="eastAsia"/>
                <w:bCs/>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sz w:val="21"/>
                <w:szCs w:val="21"/>
              </w:rPr>
            </w:pPr>
            <w:r>
              <w:rPr>
                <w:rFonts w:hint="eastAsia"/>
                <w:bCs/>
                <w:szCs w:val="21"/>
              </w:rPr>
              <w:t>该公司</w:t>
            </w:r>
            <w:r>
              <w:rPr>
                <w:rFonts w:hint="eastAsia"/>
                <w:bCs/>
                <w:color w:val="auto"/>
                <w:szCs w:val="21"/>
              </w:rPr>
              <w:t>员工共</w:t>
            </w:r>
            <w:r>
              <w:rPr>
                <w:rFonts w:hint="eastAsia"/>
                <w:bCs/>
                <w:color w:val="auto"/>
                <w:szCs w:val="21"/>
                <w:lang w:val="en-US" w:eastAsia="zh-CN"/>
              </w:rPr>
              <w:t>25</w:t>
            </w:r>
            <w:r>
              <w:rPr>
                <w:rFonts w:hint="eastAsia"/>
                <w:bCs/>
                <w:color w:val="auto"/>
                <w:szCs w:val="21"/>
              </w:rPr>
              <w:t>人，管理人员</w:t>
            </w:r>
            <w:r>
              <w:rPr>
                <w:rFonts w:hint="eastAsia"/>
                <w:bCs/>
                <w:color w:val="auto"/>
                <w:szCs w:val="21"/>
                <w:lang w:val="en-US" w:eastAsia="zh-CN"/>
              </w:rPr>
              <w:t>5</w:t>
            </w:r>
            <w:r>
              <w:rPr>
                <w:rFonts w:hint="eastAsia"/>
                <w:bCs/>
                <w:color w:val="auto"/>
                <w:szCs w:val="21"/>
              </w:rPr>
              <w:t>人。有</w:t>
            </w:r>
            <w:r>
              <w:rPr>
                <w:rFonts w:hint="eastAsia"/>
                <w:bCs/>
                <w:szCs w:val="21"/>
              </w:rPr>
              <w:t>专业的</w:t>
            </w:r>
            <w:r>
              <w:rPr>
                <w:rFonts w:hint="eastAsia"/>
                <w:bCs/>
                <w:szCs w:val="21"/>
                <w:lang w:eastAsia="zh-CN"/>
              </w:rPr>
              <w:t>生产</w:t>
            </w:r>
            <w:r>
              <w:rPr>
                <w:rFonts w:hint="eastAsia"/>
                <w:bCs/>
                <w:szCs w:val="21"/>
              </w:rPr>
              <w:t>人员</w:t>
            </w:r>
            <w:r>
              <w:rPr>
                <w:rFonts w:hint="eastAsia"/>
                <w:bCs/>
                <w:szCs w:val="21"/>
                <w:lang w:eastAsia="zh-CN"/>
              </w:rPr>
              <w:t>、技术人员</w:t>
            </w:r>
            <w:r>
              <w:rPr>
                <w:rFonts w:hint="eastAsia"/>
                <w:bCs/>
                <w:szCs w:val="21"/>
              </w:rPr>
              <w:t>，能满足</w:t>
            </w:r>
            <w:r>
              <w:rPr>
                <w:rFonts w:hint="eastAsia" w:ascii="宋体" w:hAnsi="宋体"/>
              </w:rPr>
              <w:t>车用传感器及车门玻璃升降器的组装加工</w:t>
            </w:r>
            <w:r>
              <w:rPr>
                <w:rFonts w:hint="eastAsia" w:ascii="宋体" w:hAnsi="宋体" w:cs="宋体"/>
                <w:kern w:val="0"/>
                <w:szCs w:val="21"/>
                <w:lang w:eastAsia="zh-CN"/>
              </w:rPr>
              <w:t>的环境及职业健康安全要求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基础设施</w:t>
            </w:r>
          </w:p>
          <w:p>
            <w:pPr>
              <w:spacing w:line="240" w:lineRule="exact"/>
              <w:rPr>
                <w:rFonts w:hint="eastAsia" w:ascii="宋体" w:hAnsi="宋体" w:eastAsia="宋体" w:cs="宋体"/>
                <w:color w:val="auto"/>
                <w:sz w:val="21"/>
                <w:szCs w:val="21"/>
              </w:rPr>
            </w:pPr>
            <w:r>
              <w:rPr>
                <w:rFonts w:hint="eastAsia" w:ascii="宋体" w:hAnsi="宋体" w:cs="宋体"/>
                <w:color w:val="auto"/>
                <w:sz w:val="21"/>
                <w:szCs w:val="21"/>
                <w:lang w:eastAsia="zh-CN"/>
              </w:rPr>
              <w:t>生产设施：</w:t>
            </w:r>
            <w:r>
              <w:rPr>
                <w:rFonts w:hint="eastAsia"/>
                <w:color w:val="auto"/>
              </w:rPr>
              <w:t>激光打标机、热板机、注塑机、压铆机</w:t>
            </w:r>
            <w:r>
              <w:rPr>
                <w:rFonts w:hint="eastAsia" w:ascii="宋体" w:hAnsi="宋体" w:cs="宋体"/>
                <w:color w:val="auto"/>
                <w:sz w:val="21"/>
                <w:szCs w:val="21"/>
                <w:lang w:val="en-US" w:eastAsia="zh-CN"/>
              </w:rPr>
              <w:t>等</w:t>
            </w:r>
            <w:r>
              <w:rPr>
                <w:rFonts w:hint="eastAsia" w:ascii="宋体" w:hAnsi="宋体" w:cs="宋体"/>
                <w:color w:val="auto"/>
                <w:sz w:val="21"/>
                <w:szCs w:val="21"/>
                <w:lang w:eastAsia="zh-CN"/>
              </w:rPr>
              <w:t>设施</w:t>
            </w:r>
            <w:r>
              <w:rPr>
                <w:rFonts w:hint="eastAsia" w:ascii="宋体" w:hAnsi="宋体" w:eastAsia="宋体" w:cs="宋体"/>
                <w:color w:val="auto"/>
                <w:sz w:val="21"/>
                <w:szCs w:val="21"/>
              </w:rPr>
              <w:t>等</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办公设施：电脑、打印机、复印机等</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环保设备：废气收集装置、垃圾筒</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安全设备：灭火器、消防栓</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eastAsia="zh-CN"/>
              </w:rPr>
              <w:t>生产车间、</w:t>
            </w:r>
            <w:r>
              <w:rPr>
                <w:rFonts w:hint="eastAsia"/>
              </w:rPr>
              <w:t>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w:t>
            </w:r>
            <w:r>
              <w:rPr>
                <w:rFonts w:hint="eastAsia"/>
                <w:lang w:eastAsia="zh-CN"/>
              </w:rPr>
              <w:t>生产环境及职业健康安全运行</w:t>
            </w:r>
            <w:r>
              <w:rPr>
                <w:rFonts w:hint="eastAsia"/>
              </w:rPr>
              <w:t>检查记录，能不定期对</w:t>
            </w:r>
            <w:r>
              <w:rPr>
                <w:rFonts w:hint="eastAsia"/>
                <w:lang w:eastAsia="zh-CN"/>
              </w:rPr>
              <w:t>环境及职业健康安全</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rPr>
            </w:pPr>
          </w:p>
          <w:p>
            <w:pPr>
              <w:spacing w:line="240" w:lineRule="exact"/>
              <w:rPr>
                <w:rFonts w:ascii="宋体" w:hAnsi="宋体"/>
                <w:color w:val="000000" w:themeColor="text1"/>
                <w:sz w:val="20"/>
                <w:szCs w:val="20"/>
              </w:rPr>
            </w:pPr>
            <w:r>
              <w:rPr>
                <w:rFonts w:hint="eastAsia"/>
              </w:rPr>
              <w:t>配备有</w:t>
            </w:r>
            <w:r>
              <w:rPr>
                <w:rFonts w:hint="eastAsia"/>
                <w:b/>
                <w:color w:val="000000" w:themeColor="text1"/>
                <w:sz w:val="22"/>
                <w:szCs w:val="22"/>
                <w:lang w:val="en-US" w:eastAsia="zh-CN"/>
              </w:rPr>
              <w:t>废气收集装置</w:t>
            </w:r>
            <w:r>
              <w:rPr>
                <w:rFonts w:hint="eastAsia"/>
                <w:b/>
                <w:color w:val="000000" w:themeColor="text1"/>
                <w:sz w:val="22"/>
                <w:szCs w:val="22"/>
                <w:lang w:eastAsia="zh-CN"/>
              </w:rPr>
              <w:t>、</w:t>
            </w:r>
            <w:r>
              <w:rPr>
                <w:rFonts w:hint="eastAsia"/>
                <w:b/>
                <w:color w:val="000000" w:themeColor="text1"/>
                <w:sz w:val="22"/>
                <w:szCs w:val="22"/>
                <w:lang w:val="en-US" w:eastAsia="zh-CN"/>
              </w:rPr>
              <w:t>垃圾桶、</w:t>
            </w:r>
            <w:r>
              <w:rPr>
                <w:rFonts w:hint="eastAsia"/>
                <w:lang w:eastAsia="zh-CN"/>
              </w:rPr>
              <w:t>灭火器</w:t>
            </w:r>
            <w:r>
              <w:rPr>
                <w:rFonts w:hint="eastAsia"/>
              </w:rPr>
              <w:t>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w:t>
            </w:r>
            <w:r>
              <w:rPr>
                <w:rFonts w:hint="eastAsia"/>
                <w:lang w:eastAsia="zh-CN"/>
              </w:rPr>
              <w:t>、</w:t>
            </w:r>
            <w:r>
              <w:rPr>
                <w:rFonts w:hint="eastAsia"/>
                <w:lang w:val="en-US" w:eastAsia="zh-CN"/>
              </w:rPr>
              <w:t>消防栓</w:t>
            </w:r>
            <w:r>
              <w:rPr>
                <w:rFonts w:hint="eastAsia"/>
              </w:rPr>
              <w:t>等环保设施。</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pStyle w:val="2"/>
              <w:rPr>
                <w:rFonts w:hint="eastAsia"/>
                <w:b/>
                <w:color w:val="000000" w:themeColor="text1"/>
                <w:sz w:val="20"/>
                <w:szCs w:val="20"/>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bCs/>
                <w:szCs w:val="21"/>
              </w:rPr>
            </w:pPr>
            <w:r>
              <w:rPr>
                <w:rFonts w:hint="eastAsia" w:ascii="楷体_GB2312" w:eastAsia="楷体_GB2312"/>
                <w:b/>
                <w:szCs w:val="21"/>
              </w:rPr>
              <w:t>组织对外联络，关注顾客的感受情况（QMS）：</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w:t>
            </w:r>
            <w:r>
              <w:rPr>
                <w:rFonts w:hint="eastAsia"/>
                <w:sz w:val="21"/>
                <w:szCs w:val="21"/>
              </w:rPr>
              <w:t>固废排放、火灾</w:t>
            </w:r>
            <w:r>
              <w:rPr>
                <w:rFonts w:hint="eastAsia"/>
                <w:sz w:val="21"/>
                <w:szCs w:val="21"/>
                <w:lang w:eastAsia="zh-CN"/>
              </w:rPr>
              <w:t>、噪声、废气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sz w:val="21"/>
                <w:szCs w:val="21"/>
              </w:rPr>
              <w:t>火灾和触电</w:t>
            </w:r>
            <w:r>
              <w:rPr>
                <w:rFonts w:hint="eastAsia"/>
                <w:sz w:val="21"/>
                <w:szCs w:val="21"/>
                <w:lang w:eastAsia="zh-CN"/>
              </w:rPr>
              <w:t>、机械伤害、</w:t>
            </w:r>
            <w:r>
              <w:rPr>
                <w:rFonts w:hint="eastAsia"/>
                <w:sz w:val="21"/>
                <w:szCs w:val="21"/>
                <w:lang w:val="en-US" w:eastAsia="zh-CN"/>
              </w:rPr>
              <w:t>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hint="eastAsia"/>
                <w:b/>
                <w:bCs/>
              </w:rPr>
            </w:pPr>
            <w:r>
              <w:rPr>
                <w:rFonts w:hint="eastAsia"/>
                <w:b/>
                <w:bCs/>
              </w:rPr>
              <w:t>11 .对危险化学品销售、使用、储存、运输处置，规定的执行力度(必要时); （适用时）</w:t>
            </w:r>
          </w:p>
          <w:p>
            <w:pPr>
              <w:pStyle w:val="2"/>
              <w:rPr>
                <w:rFonts w:hint="eastAsia"/>
                <w:b/>
                <w:color w:val="FF0000"/>
                <w:sz w:val="20"/>
                <w:szCs w:val="20"/>
              </w:rPr>
            </w:pPr>
          </w:p>
          <w:p>
            <w:pPr>
              <w:pStyle w:val="2"/>
              <w:numPr>
                <w:ilvl w:val="0"/>
                <w:numId w:val="0"/>
              </w:numPr>
              <w:ind w:left="0" w:leftChars="0" w:firstLine="0" w:firstLineChars="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bCs/>
                <w:szCs w:val="21"/>
              </w:rPr>
            </w:pPr>
            <w:r>
              <w:rPr>
                <w:rFonts w:hint="eastAsia"/>
                <w:bCs/>
                <w:szCs w:val="21"/>
              </w:rPr>
              <w:t>对环境/安全目标指标进行了考核，各部门基本可以完成环境/安全目标要求。目标具备可测量性</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hint="eastAsia"/>
              </w:rPr>
            </w:pPr>
            <w:r>
              <w:rPr>
                <w:rFonts w:hint="eastAsia"/>
              </w:rPr>
              <w:t>建立有《内部审核控制程序》，规定了内审频次一年一次，拟定了审核实施表，明确了内审范围，内审人员经培训合格上岗，能力满足要求，未出现审核本部门情况，内审不符合项</w:t>
            </w:r>
            <w:r>
              <w:rPr>
                <w:rFonts w:hint="eastAsia"/>
                <w:lang w:val="en-US" w:eastAsia="zh-CN"/>
              </w:rPr>
              <w:t>1</w:t>
            </w:r>
            <w:r>
              <w:rPr>
                <w:rFonts w:hint="eastAsia"/>
              </w:rPr>
              <w:t>项，已及时采取纠正措施后，经内审员验证关闭。内审的有效性需要改善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有环境登记表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b/>
                <w:color w:val="000000" w:themeColor="text1"/>
                <w:sz w:val="20"/>
                <w:szCs w:val="20"/>
              </w:rPr>
            </w:pPr>
          </w:p>
          <w:p>
            <w:pPr>
              <w:spacing w:line="240" w:lineRule="exact"/>
              <w:rPr>
                <w:rFonts w:hint="default" w:ascii="宋体" w:hAnsi="宋体"/>
                <w:b/>
                <w:sz w:val="21"/>
                <w:szCs w:val="21"/>
                <w:lang w:val="en-US"/>
              </w:rPr>
            </w:pPr>
            <w:r>
              <w:rPr>
                <w:rFonts w:hint="eastAsia"/>
                <w:b/>
                <w:color w:val="000000" w:themeColor="text1"/>
                <w:sz w:val="20"/>
                <w:szCs w:val="20"/>
                <w:lang w:val="en-US" w:eastAsia="zh-CN"/>
              </w:rPr>
              <w:t>提供有体检报告，见附件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pPr>
            <w:r>
              <w:t xml:space="preserve">1 </w:t>
            </w:r>
            <w:r>
              <w:rPr>
                <w:rFonts w:hint="eastAsia"/>
              </w:rPr>
              <w:t>纠正措施的实施及效果</w:t>
            </w:r>
            <w:r>
              <w:t>;</w:t>
            </w:r>
          </w:p>
          <w:p>
            <w:pPr>
              <w:spacing w:line="240" w:lineRule="exact"/>
              <w:rPr>
                <w:rFonts w:hint="eastAsia"/>
              </w:rPr>
            </w:pPr>
          </w:p>
          <w:p>
            <w:pPr>
              <w:spacing w:line="240" w:lineRule="exact"/>
              <w:rPr>
                <w:rFonts w:hint="eastAsia"/>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0" w:leftChars="0" w:firstLine="0" w:firstLineChars="0"/>
              <w:rPr>
                <w:rFonts w:hint="eastAsia"/>
                <w:lang w:val="en-US" w:eastAsia="zh-CN"/>
              </w:rPr>
            </w:pPr>
            <w:r>
              <w:rPr>
                <w:rFonts w:hint="eastAsia"/>
              </w:rPr>
              <w:t>上次不符合的整改情况</w:t>
            </w:r>
            <w:r>
              <w:rPr>
                <w:rFonts w:hint="eastAsia"/>
                <w:lang w:val="en-US" w:eastAsia="zh-CN"/>
              </w:rPr>
              <w:t>:</w:t>
            </w:r>
          </w:p>
          <w:p>
            <w:pPr>
              <w:rPr>
                <w:rFonts w:hint="default" w:ascii="宋体" w:hAnsi="宋体" w:eastAsia="宋体"/>
                <w:lang w:val="en-US" w:eastAsia="zh-CN"/>
              </w:rPr>
            </w:pPr>
            <w:r>
              <w:rPr>
                <w:rFonts w:hint="eastAsia" w:ascii="宋体" w:hAnsi="宋体"/>
                <w:lang w:val="en-US" w:eastAsia="zh-CN"/>
              </w:rPr>
              <w:t>上次审核问题验证：“生产管理部，焊接操作人员，未戴口罩等防护用品，同时长发未束起来、</w:t>
            </w:r>
            <w:r>
              <w:rPr>
                <w:rFonts w:hint="eastAsia" w:ascii="宋体" w:hAnsi="宋体"/>
              </w:rPr>
              <w:t>不符合</w:t>
            </w:r>
            <w:r>
              <w:rPr>
                <w:rFonts w:hint="eastAsia" w:ascii="宋体" w:hAnsi="宋体"/>
                <w:lang w:eastAsia="zh-CN"/>
              </w:rPr>
              <w:t>，</w:t>
            </w:r>
            <w:r>
              <w:rPr>
                <w:rFonts w:hint="eastAsia" w:ascii="宋体" w:hAnsi="宋体"/>
                <w:lang w:val="en-US" w:eastAsia="zh-CN"/>
              </w:rPr>
              <w:t>本次现场审核未再次出现，整改有效</w:t>
            </w:r>
          </w:p>
          <w:p>
            <w:pPr>
              <w:pStyle w:val="2"/>
              <w:numPr>
                <w:ilvl w:val="0"/>
                <w:numId w:val="0"/>
              </w:numPr>
              <w:ind w:leftChars="0"/>
              <w:rPr>
                <w:rFonts w:hint="default"/>
                <w:lang w:val="en-US" w:eastAsia="zh-CN"/>
              </w:rPr>
            </w:pPr>
            <w:bookmarkStart w:id="14" w:name="_GoBack"/>
            <w:bookmarkEnd w:id="14"/>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2</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ascii="宋体" w:hAnsi="宋体" w:cs="宋体"/>
                <w:color w:val="000000"/>
                <w:kern w:val="0"/>
                <w:szCs w:val="24"/>
              </w:rPr>
              <w:t>十堰市百懋科技发展有限公司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w:t>
            </w:r>
            <w:r>
              <w:rPr>
                <w:rFonts w:hint="eastAsia"/>
                <w:lang w:val="en-US" w:eastAsia="zh-CN"/>
              </w:rPr>
              <w:t>本次审核发现的不符合，已经整改完成，整改有效，</w:t>
            </w:r>
            <w:r>
              <w:rPr>
                <w:rFonts w:hint="eastAsia"/>
              </w:rPr>
              <w:t>组织初步建立了自我完善和自我改进机制，同意推荐</w:t>
            </w:r>
            <w:r>
              <w:rPr>
                <w:rFonts w:hint="eastAsia"/>
                <w:lang w:val="en-US" w:eastAsia="zh-CN"/>
              </w:rPr>
              <w:t>保持</w:t>
            </w:r>
            <w:r>
              <w:rPr>
                <w:rFonts w:hint="eastAsia"/>
              </w:rPr>
              <w:t>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anchor distT="0" distB="0" distL="114300" distR="114300" simplePos="0" relativeHeight="251662336" behindDoc="0" locked="0" layoutInCell="1" allowOverlap="1">
            <wp:simplePos x="0" y="0"/>
            <wp:positionH relativeFrom="column">
              <wp:posOffset>1671955</wp:posOffset>
            </wp:positionH>
            <wp:positionV relativeFrom="paragraph">
              <wp:posOffset>-142240</wp:posOffset>
            </wp:positionV>
            <wp:extent cx="904875" cy="299720"/>
            <wp:effectExtent l="0" t="0" r="9525"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99720"/>
                    </a:xfrm>
                    <a:prstGeom prst="rect">
                      <a:avLst/>
                    </a:prstGeom>
                    <a:noFill/>
                    <a:ln>
                      <a:noFill/>
                    </a:ln>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1043940" cy="334645"/>
            <wp:effectExtent l="0" t="0" r="1016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043940" cy="334645"/>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2021.4.6</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22479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22479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8328D"/>
    <w:multiLevelType w:val="singleLevel"/>
    <w:tmpl w:val="CB08328D"/>
    <w:lvl w:ilvl="0" w:tentative="0">
      <w:start w:val="3"/>
      <w:numFmt w:val="decimal"/>
      <w:lvlText w:val="%1."/>
      <w:lvlJc w:val="left"/>
      <w:pPr>
        <w:tabs>
          <w:tab w:val="left" w:pos="312"/>
        </w:tabs>
      </w:pPr>
    </w:lvl>
  </w:abstractNum>
  <w:abstractNum w:abstractNumId="1">
    <w:nsid w:val="F16C66C2"/>
    <w:multiLevelType w:val="singleLevel"/>
    <w:tmpl w:val="F16C66C2"/>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67349F5"/>
    <w:multiLevelType w:val="singleLevel"/>
    <w:tmpl w:val="567349F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C1008C"/>
    <w:rsid w:val="0CB6550D"/>
    <w:rsid w:val="12397D01"/>
    <w:rsid w:val="29F52D05"/>
    <w:rsid w:val="33C57E9E"/>
    <w:rsid w:val="47DD05B6"/>
    <w:rsid w:val="48351493"/>
    <w:rsid w:val="4F5E034F"/>
    <w:rsid w:val="5B574077"/>
    <w:rsid w:val="5FFD5C49"/>
    <w:rsid w:val="7A497B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2021-04-06T14:38:50Z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C19F1923166F4E188813BF7B4DADF749</vt:lpwstr>
  </property>
</Properties>
</file>