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成都斯威特设备制造有限公司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574"/>
        <w:gridCol w:w="266"/>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982" w:type="dxa"/>
            <w:gridSpan w:val="3"/>
            <w:vAlign w:val="center"/>
          </w:tcPr>
          <w:p>
            <w:pPr>
              <w:spacing w:line="240" w:lineRule="exact"/>
              <w:jc w:val="center"/>
              <w:rPr>
                <w:b/>
                <w:color w:val="000000"/>
                <w:sz w:val="20"/>
                <w:szCs w:val="20"/>
              </w:rPr>
            </w:pPr>
            <w:r>
              <w:rPr>
                <w:rFonts w:hint="eastAsia"/>
                <w:sz w:val="18"/>
                <w:szCs w:val="18"/>
              </w:rPr>
              <w:t>注册资格</w:t>
            </w:r>
          </w:p>
        </w:tc>
        <w:tc>
          <w:tcPr>
            <w:tcW w:w="2599"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982" w:type="dxa"/>
            <w:gridSpan w:val="3"/>
            <w:vAlign w:val="center"/>
          </w:tcPr>
          <w:p>
            <w:pPr>
              <w:spacing w:line="240" w:lineRule="exact"/>
              <w:jc w:val="center"/>
              <w:rPr>
                <w:b/>
                <w:color w:val="000000"/>
                <w:sz w:val="20"/>
                <w:szCs w:val="20"/>
              </w:rPr>
            </w:pPr>
            <w:r>
              <w:rPr>
                <w:b/>
                <w:color w:val="000000"/>
                <w:sz w:val="20"/>
                <w:szCs w:val="20"/>
              </w:rPr>
              <w:t>审核员</w:t>
            </w:r>
          </w:p>
        </w:tc>
        <w:tc>
          <w:tcPr>
            <w:tcW w:w="2599" w:type="dxa"/>
            <w:gridSpan w:val="4"/>
            <w:vAlign w:val="center"/>
          </w:tcPr>
          <w:p>
            <w:pPr>
              <w:spacing w:line="240" w:lineRule="exact"/>
              <w:jc w:val="center"/>
              <w:rPr>
                <w:b/>
                <w:color w:val="000000"/>
                <w:sz w:val="20"/>
                <w:szCs w:val="20"/>
              </w:rPr>
            </w:pPr>
            <w:r>
              <w:rPr>
                <w:b/>
                <w:color w:val="000000"/>
                <w:sz w:val="20"/>
                <w:szCs w:val="20"/>
              </w:rPr>
              <w:t>17.10.02,17.12.05,18.02.06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982" w:type="dxa"/>
            <w:gridSpan w:val="3"/>
            <w:vAlign w:val="center"/>
          </w:tcPr>
          <w:p>
            <w:pPr>
              <w:rPr>
                <w:b/>
                <w:color w:val="000000"/>
                <w:sz w:val="20"/>
                <w:szCs w:val="20"/>
              </w:rPr>
            </w:pPr>
          </w:p>
        </w:tc>
        <w:tc>
          <w:tcPr>
            <w:tcW w:w="2599"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982" w:type="dxa"/>
            <w:gridSpan w:val="3"/>
            <w:vAlign w:val="center"/>
          </w:tcPr>
          <w:p>
            <w:pPr>
              <w:rPr>
                <w:b/>
                <w:color w:val="000000"/>
                <w:sz w:val="20"/>
                <w:szCs w:val="20"/>
              </w:rPr>
            </w:pPr>
            <w:r>
              <w:rPr>
                <w:rFonts w:hint="eastAsia"/>
                <w:b/>
                <w:color w:val="000000"/>
                <w:sz w:val="20"/>
                <w:szCs w:val="20"/>
              </w:rPr>
              <w:t>工作单位</w:t>
            </w:r>
          </w:p>
        </w:tc>
        <w:tc>
          <w:tcPr>
            <w:tcW w:w="2599"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82" w:type="dxa"/>
            <w:gridSpan w:val="3"/>
            <w:vAlign w:val="center"/>
          </w:tcPr>
          <w:p>
            <w:pPr>
              <w:rPr>
                <w:b/>
                <w:color w:val="000000"/>
              </w:rPr>
            </w:pPr>
          </w:p>
        </w:tc>
        <w:tc>
          <w:tcPr>
            <w:tcW w:w="2599"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82" w:type="dxa"/>
            <w:gridSpan w:val="3"/>
            <w:vAlign w:val="center"/>
          </w:tcPr>
          <w:p>
            <w:pPr>
              <w:rPr>
                <w:b/>
                <w:color w:val="000000"/>
              </w:rPr>
            </w:pPr>
          </w:p>
        </w:tc>
        <w:tc>
          <w:tcPr>
            <w:tcW w:w="2599"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成都斯威特设备制造有限公司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四川省成都市温江区成都海峡两岸科技产业开发园科盛路</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四川省成都市温江区成都海峡两岸科技产业开发园科盛路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吴翼</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陈明文</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钣金件、不锈钢制品（箱柜、支架）及通用机械设备加工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17.10.02;17.12.05;18.02.06</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管理层、企管部、生产部、采购部、销售部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top"/>
          </w:tcPr>
          <w:p>
            <w:pPr>
              <w:rPr>
                <w:rFonts w:hint="default" w:ascii="宋体"/>
                <w:color w:val="000000"/>
                <w:spacing w:val="-10"/>
                <w:sz w:val="20"/>
                <w:szCs w:val="20"/>
                <w:lang w:val="en-US"/>
              </w:rPr>
            </w:pPr>
            <w:r>
              <w:rPr>
                <w:rFonts w:hint="eastAsia" w:ascii="宋体" w:hAnsi="宋体"/>
                <w:color w:val="000000"/>
                <w:sz w:val="20"/>
                <w:szCs w:val="20"/>
                <w:lang w:eastAsia="zh-CN"/>
              </w:rPr>
              <w:t>■</w:t>
            </w:r>
            <w:r>
              <w:rPr>
                <w:rFonts w:hint="eastAsia" w:ascii="宋体" w:hAnsi="宋体"/>
                <w:color w:val="000000"/>
                <w:sz w:val="20"/>
                <w:szCs w:val="20"/>
                <w:lang w:val="en-US" w:eastAsia="zh-CN"/>
              </w:rPr>
              <w:t>允分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vAlign w:val="top"/>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vAlign w:val="top"/>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钣金件、不锈钢制品（箱柜、支架）及通用机械设备加工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color w:val="auto"/>
                <w:szCs w:val="22"/>
                <w:lang w:val="en-US" w:eastAsia="zh-CN"/>
              </w:rPr>
              <w:t>管理层、企管部、生产部、采购部、销售部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color w:val="auto"/>
                <w:szCs w:val="22"/>
                <w:lang w:val="en-US" w:eastAsia="zh-CN"/>
              </w:rPr>
              <w:t>企管部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color w:val="auto"/>
                <w:szCs w:val="22"/>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四川省成都市温江区成都海峡两岸科技产业开发园科盛路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r>
              <w:rPr>
                <w:rFonts w:hint="eastAsia" w:ascii="宋体" w:hAnsi="宋体"/>
                <w:color w:val="000000"/>
                <w:sz w:val="20"/>
                <w:szCs w:val="20"/>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四川省成都市温江区成都海峡两岸科技产业开发园科盛路</w:t>
            </w:r>
          </w:p>
          <w:p>
            <w:pPr>
              <w:tabs>
                <w:tab w:val="left" w:pos="360"/>
              </w:tabs>
              <w:ind w:left="357" w:hanging="357"/>
              <w:rPr>
                <w:rFonts w:ascii="宋体"/>
                <w:color w:val="FF0000"/>
                <w:sz w:val="20"/>
                <w:szCs w:val="20"/>
              </w:rPr>
            </w:pPr>
            <w:r>
              <w:rPr>
                <w:rFonts w:hint="eastAsia" w:ascii="宋体" w:hAnsi="宋体"/>
                <w:color w:val="000000"/>
                <w:sz w:val="20"/>
                <w:szCs w:val="20"/>
              </w:rPr>
              <w:t>其使用的建筑</w:t>
            </w:r>
            <w:r>
              <w:rPr>
                <w:rFonts w:hint="eastAsia" w:ascii="宋体" w:hAnsi="宋体"/>
                <w:color w:val="auto"/>
                <w:sz w:val="20"/>
                <w:szCs w:val="20"/>
              </w:rPr>
              <w:t>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自建厂房</w:t>
            </w:r>
            <w:r>
              <w:rPr>
                <w:rFonts w:hint="eastAsia" w:ascii="宋体" w:hAnsi="宋体"/>
                <w:color w:val="auto"/>
                <w:spacing w:val="-10"/>
                <w:sz w:val="20"/>
                <w:szCs w:val="20"/>
              </w:rPr>
              <w:t>□租用办公用房</w:t>
            </w:r>
            <w:r>
              <w:rPr>
                <w:rFonts w:hint="eastAsia" w:ascii="宋体" w:hAnsi="宋体"/>
                <w:color w:val="auto"/>
                <w:spacing w:val="-10"/>
                <w:sz w:val="20"/>
                <w:szCs w:val="20"/>
                <w:lang w:eastAsia="zh-CN"/>
              </w:rPr>
              <w:t>■</w:t>
            </w:r>
            <w:r>
              <w:rPr>
                <w:rFonts w:hint="eastAsia" w:ascii="宋体" w:hAnsi="宋体"/>
                <w:color w:val="auto"/>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color w:val="auto"/>
                <w:szCs w:val="21"/>
                <w:lang w:eastAsia="zh-CN"/>
              </w:rPr>
              <w:t>一般公差、未注公差的线性和角尺寸的公差值GB/T1804-2000、机械加工设备一般安全要求GB 12266-1990 、焊接工艺评定规程DL/T 868-2014、钢的弧焊接头缺陷质量分级指南GB/T 19418-2003、焊接结构的一般尺寸公差和形位公差GB/T 19804-2005及顾客技术要求</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auto"/>
                <w:sz w:val="21"/>
                <w:szCs w:val="21"/>
                <w:highlight w:val="none"/>
              </w:rPr>
            </w:pPr>
            <w:r>
              <w:rPr>
                <w:rFonts w:hint="eastAsia" w:ascii="宋体" w:hAnsi="宋体"/>
                <w:color w:val="auto"/>
                <w:sz w:val="21"/>
                <w:szCs w:val="21"/>
                <w:highlight w:val="none"/>
              </w:rPr>
              <w:t>产品加工流程</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钣金件、不锈钢制品（箱柜、支架）：下料--折弯--焊接--打磨抛光--包装--检验--入库  </w:t>
            </w:r>
          </w:p>
          <w:p>
            <w:pPr>
              <w:rPr>
                <w:rFonts w:ascii="宋体"/>
                <w:color w:val="FF0000"/>
                <w:sz w:val="20"/>
                <w:szCs w:val="20"/>
                <w:highlight w:val="none"/>
              </w:rPr>
            </w:pPr>
            <w:r>
              <w:rPr>
                <w:rFonts w:hint="eastAsia" w:ascii="宋体" w:hAnsi="宋体"/>
                <w:color w:val="auto"/>
                <w:sz w:val="21"/>
                <w:szCs w:val="21"/>
                <w:highlight w:val="none"/>
              </w:rPr>
              <w:t>通用机械设备加工：客户提供图纸--零部件加工---组装调试--检验--入库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FF0000"/>
                <w:sz w:val="20"/>
                <w:szCs w:val="20"/>
                <w:highlight w:val="none"/>
              </w:rPr>
            </w:pPr>
            <w:r>
              <w:rPr>
                <w:rFonts w:hint="eastAsia" w:ascii="宋体" w:hAnsi="宋体"/>
                <w:color w:val="auto"/>
                <w:sz w:val="20"/>
                <w:szCs w:val="20"/>
                <w:highlight w:val="none"/>
              </w:rPr>
              <w:t>关键过程有：</w:t>
            </w:r>
            <w:r>
              <w:rPr>
                <w:rFonts w:hint="eastAsia" w:ascii="宋体" w:hAnsi="宋体"/>
                <w:color w:val="auto"/>
                <w:szCs w:val="21"/>
                <w:highlight w:val="none"/>
                <w:lang w:val="en-US" w:eastAsia="zh-CN"/>
              </w:rPr>
              <w:t xml:space="preserve">焊接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themeColor="text1"/>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color w:val="auto"/>
                <w:szCs w:val="21"/>
                <w:highlight w:val="none"/>
                <w:lang w:val="en-US" w:eastAsia="zh-CN"/>
              </w:rPr>
              <w:t xml:space="preserve">焊接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z w:val="20"/>
                <w:szCs w:val="20"/>
              </w:rPr>
              <w:t>是否明确了外包过程的控制方法：</w:t>
            </w:r>
            <w:r>
              <w:rPr>
                <w:rFonts w:hint="eastAsia" w:ascii="宋体" w:hAnsi="宋体"/>
                <w:color w:val="auto"/>
                <w:sz w:val="20"/>
                <w:szCs w:val="20"/>
                <w:lang w:val="en-US" w:eastAsia="zh-CN"/>
              </w:rPr>
              <w:t>明确，</w:t>
            </w:r>
            <w:r>
              <w:rPr>
                <w:rFonts w:hint="eastAsia" w:ascii="宋体" w:hAnsi="宋体"/>
                <w:color w:val="auto"/>
                <w:sz w:val="20"/>
                <w:szCs w:val="20"/>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auto"/>
                <w:spacing w:val="-10"/>
                <w:sz w:val="20"/>
                <w:szCs w:val="20"/>
              </w:rPr>
            </w:pPr>
            <w:r>
              <w:rPr>
                <w:rFonts w:hint="eastAsia" w:ascii="宋体" w:hAnsi="宋体"/>
                <w:color w:val="auto"/>
                <w:spacing w:val="-10"/>
                <w:sz w:val="20"/>
                <w:szCs w:val="20"/>
              </w:rPr>
              <w:t>主要设备：</w:t>
            </w:r>
            <w:r>
              <w:rPr>
                <w:rFonts w:hint="eastAsia"/>
                <w:color w:val="auto"/>
                <w:sz w:val="21"/>
                <w:szCs w:val="21"/>
                <w:highlight w:val="none"/>
                <w:lang w:val="en-US" w:eastAsia="zh-CN"/>
              </w:rPr>
              <w:t>折弯机、激光切割机、角磨机、氩弧焊机、手动工具（起子、榔头、扳手）等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行车1台</w:t>
            </w:r>
            <w:r>
              <w:rPr>
                <w:rFonts w:hint="eastAsia"/>
                <w:color w:val="auto"/>
                <w:sz w:val="21"/>
                <w:szCs w:val="21"/>
                <w:highlight w:val="none"/>
                <w:lang w:val="en-US" w:eastAsia="zh-CN"/>
              </w:rPr>
              <w:t>（租赁：成都威尔逊成套机械工程有限公司）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s="宋体"/>
                <w:color w:val="auto"/>
                <w:sz w:val="20"/>
                <w:szCs w:val="20"/>
                <w:lang w:eastAsia="zh-CN"/>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w:t>
            </w:r>
            <w:r>
              <w:rPr>
                <w:rFonts w:hint="eastAsia"/>
                <w:color w:val="auto"/>
                <w:sz w:val="21"/>
                <w:szCs w:val="21"/>
                <w:lang w:eastAsia="zh-CN"/>
              </w:rPr>
              <w:t>游标卡尺、</w:t>
            </w:r>
            <w:r>
              <w:rPr>
                <w:rFonts w:hint="eastAsia"/>
                <w:color w:val="auto"/>
                <w:sz w:val="21"/>
                <w:szCs w:val="21"/>
                <w:lang w:val="en-US" w:eastAsia="zh-CN"/>
              </w:rPr>
              <w:t>钢卷尺、角度尺等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42</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1"/>
                <w:szCs w:val="21"/>
              </w:rPr>
            </w:pPr>
            <w:r>
              <w:rPr>
                <w:rFonts w:hint="eastAsia" w:ascii="宋体" w:hAnsi="宋体"/>
                <w:b/>
                <w:color w:val="000000"/>
                <w:sz w:val="21"/>
                <w:szCs w:val="21"/>
              </w:rPr>
              <w:t>▲质量管理体系宜重点关注（设计、关键生产</w:t>
            </w:r>
            <w:r>
              <w:rPr>
                <w:rFonts w:ascii="宋体" w:hAnsi="宋体"/>
                <w:b/>
                <w:color w:val="000000"/>
                <w:sz w:val="21"/>
                <w:szCs w:val="21"/>
              </w:rPr>
              <w:t>/</w:t>
            </w:r>
            <w:r>
              <w:rPr>
                <w:rFonts w:hint="eastAsia" w:ascii="宋体" w:hAnsi="宋体"/>
                <w:b/>
                <w:color w:val="000000"/>
                <w:sz w:val="21"/>
                <w:szCs w:val="21"/>
              </w:rPr>
              <w:t>服务、检验、采购过程及生产</w:t>
            </w:r>
            <w:r>
              <w:rPr>
                <w:rFonts w:ascii="宋体" w:hAnsi="宋体"/>
                <w:b/>
                <w:color w:val="000000"/>
                <w:sz w:val="21"/>
                <w:szCs w:val="21"/>
              </w:rPr>
              <w:t>/</w:t>
            </w:r>
            <w:r>
              <w:rPr>
                <w:rFonts w:hint="eastAsia" w:ascii="宋体" w:hAnsi="宋体"/>
                <w:b/>
                <w:color w:val="000000"/>
                <w:sz w:val="21"/>
                <w:szCs w:val="21"/>
              </w:rPr>
              <w:t>服务提供场所）：</w:t>
            </w:r>
          </w:p>
          <w:p>
            <w:pPr>
              <w:spacing w:line="360" w:lineRule="auto"/>
              <w:rPr>
                <w:rFonts w:hint="default" w:ascii="宋体" w:eastAsia="宋体"/>
                <w:b/>
                <w:color w:val="000000"/>
                <w:sz w:val="21"/>
                <w:szCs w:val="21"/>
                <w:lang w:val="en-US" w:eastAsia="zh-CN"/>
              </w:rPr>
            </w:pPr>
            <w:r>
              <w:rPr>
                <w:rFonts w:hint="eastAsia" w:ascii="宋体" w:hAnsi="宋体"/>
                <w:b/>
                <w:color w:val="000000"/>
                <w:sz w:val="21"/>
                <w:szCs w:val="21"/>
              </w:rPr>
              <w:t>重点审核部门：</w:t>
            </w:r>
            <w:r>
              <w:rPr>
                <w:rFonts w:hint="eastAsia" w:ascii="宋体" w:hAnsi="宋体"/>
                <w:b/>
                <w:color w:val="000000"/>
                <w:sz w:val="21"/>
                <w:szCs w:val="21"/>
                <w:lang w:val="en-US" w:eastAsia="zh-CN"/>
              </w:rPr>
              <w:t>生产部、采购部</w:t>
            </w:r>
          </w:p>
          <w:p>
            <w:pPr>
              <w:spacing w:line="400" w:lineRule="exact"/>
              <w:rPr>
                <w:rFonts w:ascii="宋体"/>
                <w:b/>
                <w:color w:val="000000"/>
                <w:sz w:val="21"/>
                <w:szCs w:val="21"/>
              </w:rPr>
            </w:pPr>
            <w:r>
              <w:rPr>
                <w:rFonts w:hint="eastAsia" w:ascii="宋体" w:hAnsi="宋体"/>
                <w:b/>
                <w:color w:val="000000"/>
                <w:sz w:val="21"/>
                <w:szCs w:val="21"/>
              </w:rPr>
              <w:t>重点审核过程：外部供应产品和服务的控制、顾客满意；产品和服务放行、不合格产品和服务</w:t>
            </w:r>
          </w:p>
          <w:p>
            <w:pPr>
              <w:spacing w:line="360" w:lineRule="auto"/>
              <w:rPr>
                <w:rFonts w:ascii="宋体"/>
                <w:b/>
                <w:color w:val="000000"/>
                <w:sz w:val="21"/>
                <w:szCs w:val="21"/>
              </w:rPr>
            </w:pPr>
            <w:r>
              <w:rPr>
                <w:rFonts w:hint="eastAsia" w:ascii="宋体" w:hAnsi="宋体"/>
                <w:b/>
                <w:color w:val="000000"/>
                <w:sz w:val="21"/>
                <w:szCs w:val="21"/>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1"/>
                <w:szCs w:val="21"/>
              </w:rPr>
            </w:pPr>
            <w:r>
              <w:rPr>
                <w:rFonts w:hint="eastAsia" w:ascii="宋体" w:hAnsi="宋体"/>
                <w:b/>
                <w:color w:val="000000"/>
                <w:sz w:val="21"/>
                <w:szCs w:val="21"/>
              </w:rPr>
              <w:t>▲环境管理体系重点关注（如动力装置场所、危险化学品仓库、污染物治疗设施、固废堆放场所及其作业现场，包括周边境况）</w:t>
            </w:r>
            <w:r>
              <w:rPr>
                <w:rFonts w:ascii="宋体" w:hAnsi="宋体"/>
                <w:b/>
                <w:color w:val="000000"/>
                <w:sz w:val="21"/>
                <w:szCs w:val="21"/>
              </w:rPr>
              <w:t xml:space="preserve">; </w:t>
            </w:r>
          </w:p>
          <w:p>
            <w:pPr>
              <w:spacing w:line="360" w:lineRule="auto"/>
              <w:rPr>
                <w:rFonts w:ascii="宋体"/>
                <w:b/>
                <w:color w:val="000000"/>
                <w:sz w:val="21"/>
                <w:szCs w:val="21"/>
              </w:rPr>
            </w:pPr>
            <w:r>
              <w:rPr>
                <w:rFonts w:hint="eastAsia" w:ascii="宋体" w:hAnsi="宋体"/>
                <w:b/>
                <w:color w:val="000000"/>
                <w:sz w:val="21"/>
                <w:szCs w:val="21"/>
              </w:rPr>
              <w:t>重点审核部门：</w:t>
            </w:r>
          </w:p>
          <w:p>
            <w:pPr>
              <w:spacing w:line="260" w:lineRule="exact"/>
              <w:rPr>
                <w:rFonts w:ascii="宋体"/>
                <w:b/>
                <w:color w:val="000000"/>
                <w:sz w:val="21"/>
                <w:szCs w:val="21"/>
              </w:rPr>
            </w:pPr>
            <w:r>
              <w:rPr>
                <w:rFonts w:hint="eastAsia" w:ascii="宋体" w:hAnsi="宋体"/>
                <w:b/>
                <w:color w:val="000000"/>
                <w:sz w:val="21"/>
                <w:szCs w:val="21"/>
              </w:rPr>
              <w:t>重点审核场所：</w:t>
            </w:r>
          </w:p>
          <w:p>
            <w:pPr>
              <w:spacing w:line="260" w:lineRule="exac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1"/>
                <w:szCs w:val="21"/>
              </w:rPr>
            </w:pPr>
            <w:r>
              <w:rPr>
                <w:rFonts w:hint="eastAsia" w:ascii="宋体" w:hAnsi="宋体"/>
                <w:b/>
                <w:color w:val="000000"/>
                <w:sz w:val="21"/>
                <w:szCs w:val="21"/>
              </w:rPr>
              <w:t>▲职业健康安全管理体系重点关注（如职业危害场所、高风险作业场所，危险化学品仓库，包括周边境况）。</w:t>
            </w:r>
          </w:p>
          <w:p>
            <w:pPr>
              <w:spacing w:line="360" w:lineRule="auto"/>
              <w:rPr>
                <w:rFonts w:ascii="宋体"/>
                <w:b/>
                <w:color w:val="000000"/>
                <w:sz w:val="21"/>
                <w:szCs w:val="21"/>
              </w:rPr>
            </w:pPr>
            <w:r>
              <w:rPr>
                <w:rFonts w:hint="eastAsia" w:ascii="宋体" w:hAnsi="宋体"/>
                <w:b/>
                <w:color w:val="000000"/>
                <w:sz w:val="21"/>
                <w:szCs w:val="21"/>
              </w:rPr>
              <w:t>重点审核部门：</w:t>
            </w:r>
          </w:p>
          <w:p>
            <w:pPr>
              <w:spacing w:line="260" w:lineRule="exact"/>
              <w:rPr>
                <w:rFonts w:ascii="宋体"/>
                <w:b/>
                <w:color w:val="000000"/>
                <w:sz w:val="21"/>
                <w:szCs w:val="21"/>
              </w:rPr>
            </w:pPr>
            <w:r>
              <w:rPr>
                <w:rFonts w:hint="eastAsia" w:ascii="宋体" w:hAnsi="宋体"/>
                <w:b/>
                <w:color w:val="000000"/>
                <w:sz w:val="21"/>
                <w:szCs w:val="21"/>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1"/>
                <w:szCs w:val="21"/>
              </w:rPr>
            </w:pPr>
            <w:r>
              <w:rPr>
                <w:rFonts w:hint="eastAsia" w:ascii="宋体" w:hAnsi="宋体"/>
                <w:b/>
                <w:color w:val="000000"/>
                <w:sz w:val="21"/>
                <w:szCs w:val="21"/>
              </w:rPr>
              <w:t>内部审核</w:t>
            </w:r>
          </w:p>
        </w:tc>
        <w:tc>
          <w:tcPr>
            <w:tcW w:w="8221" w:type="dxa"/>
          </w:tcPr>
          <w:p>
            <w:pPr>
              <w:spacing w:line="400" w:lineRule="exact"/>
              <w:rPr>
                <w:rFonts w:ascii="宋体"/>
                <w:b/>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 xml:space="preserve">; </w:t>
            </w:r>
            <w:r>
              <w:rPr>
                <w:rFonts w:hint="eastAsia"/>
                <w:sz w:val="21"/>
                <w:szCs w:val="21"/>
              </w:rPr>
              <w:t>建立有《内部审核控制程序》，于</w:t>
            </w:r>
            <w:r>
              <w:rPr>
                <w:rFonts w:hint="eastAsia"/>
                <w:color w:val="auto"/>
                <w:sz w:val="21"/>
                <w:szCs w:val="21"/>
              </w:rPr>
              <w:t>2021年2月3日至4 日</w:t>
            </w:r>
            <w:r>
              <w:rPr>
                <w:rFonts w:hint="eastAsia"/>
                <w:sz w:val="21"/>
                <w:szCs w:val="21"/>
              </w:rPr>
              <w:t>进行了内部审核。内部审核组组成：</w:t>
            </w:r>
            <w:r>
              <w:rPr>
                <w:rFonts w:hint="eastAsia"/>
                <w:color w:val="auto"/>
                <w:sz w:val="21"/>
                <w:szCs w:val="21"/>
                <w:lang w:eastAsia="zh-CN"/>
              </w:rPr>
              <w:t>组长：陈明文  组员：李波</w:t>
            </w:r>
            <w:r>
              <w:rPr>
                <w:rFonts w:hint="eastAsia" w:ascii="Times New Roman" w:hAnsi="Times New Roman" w:eastAsia="宋体" w:cs="Times New Roman"/>
                <w:sz w:val="21"/>
                <w:szCs w:val="21"/>
                <w:lang w:eastAsia="zh-CN"/>
              </w:rPr>
              <w:t>。</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276" w:type="dxa"/>
            <w:vMerge w:val="continue"/>
          </w:tcPr>
          <w:p>
            <w:pPr>
              <w:spacing w:line="260" w:lineRule="exact"/>
              <w:rPr>
                <w:rFonts w:ascii="宋体"/>
                <w:b/>
                <w:color w:val="000000"/>
                <w:sz w:val="21"/>
                <w:szCs w:val="21"/>
              </w:rPr>
            </w:pPr>
          </w:p>
        </w:tc>
        <w:tc>
          <w:tcPr>
            <w:tcW w:w="8221" w:type="dxa"/>
          </w:tcPr>
          <w:p>
            <w:pPr>
              <w:spacing w:line="340" w:lineRule="exact"/>
              <w:rPr>
                <w:rFonts w:ascii="宋体" w:hAnsi="宋体"/>
                <w:b/>
                <w:color w:val="000000"/>
                <w:sz w:val="21"/>
                <w:szCs w:val="21"/>
              </w:rPr>
            </w:pPr>
            <w:r>
              <w:rPr>
                <w:rFonts w:hint="eastAsia" w:ascii="宋体" w:hAnsi="宋体"/>
                <w:b/>
                <w:color w:val="000000"/>
                <w:sz w:val="21"/>
                <w:szCs w:val="21"/>
              </w:rPr>
              <w:t>了解内审是否覆盖了管理体系范围内的活动及标准的要求</w:t>
            </w:r>
            <w:r>
              <w:rPr>
                <w:rFonts w:ascii="宋体" w:hAnsi="宋体"/>
                <w:b/>
                <w:color w:val="000000"/>
                <w:sz w:val="21"/>
                <w:szCs w:val="21"/>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1"/>
                <w:szCs w:val="21"/>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hAnsi="宋体"/>
                <w:b/>
                <w:color w:val="000000"/>
                <w:sz w:val="21"/>
                <w:szCs w:val="21"/>
              </w:rPr>
            </w:pPr>
            <w:r>
              <w:rPr>
                <w:rFonts w:hint="eastAsia" w:ascii="宋体" w:hAnsi="宋体"/>
                <w:b/>
                <w:color w:val="000000"/>
                <w:sz w:val="21"/>
                <w:szCs w:val="21"/>
              </w:rPr>
              <w:t>了解内审结论是什么？</w:t>
            </w:r>
          </w:p>
          <w:p>
            <w:pPr>
              <w:tabs>
                <w:tab w:val="right" w:pos="9332"/>
              </w:tabs>
              <w:spacing w:line="400" w:lineRule="exact"/>
              <w:ind w:firstLine="378" w:firstLineChars="200"/>
              <w:rPr>
                <w:rFonts w:ascii="宋体" w:hAnsi="宋体" w:cs="宋体"/>
                <w:w w:val="90"/>
                <w:sz w:val="21"/>
                <w:szCs w:val="21"/>
              </w:rPr>
            </w:pPr>
            <w:r>
              <w:rPr>
                <w:rFonts w:hint="eastAsia" w:ascii="宋体" w:hAnsi="宋体" w:cs="宋体"/>
                <w:w w:val="90"/>
                <w:sz w:val="21"/>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 w:val="21"/>
                <w:szCs w:val="21"/>
              </w:rPr>
            </w:pPr>
            <w:r>
              <w:rPr>
                <w:rFonts w:hint="eastAsia" w:ascii="宋体" w:hAnsi="宋体" w:cs="宋体"/>
                <w:w w:val="90"/>
                <w:sz w:val="21"/>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1"/>
                <w:szCs w:val="21"/>
              </w:rPr>
            </w:pPr>
            <w:r>
              <w:rPr>
                <w:rFonts w:hint="eastAsia" w:ascii="宋体" w:hAnsi="宋体" w:cs="宋体"/>
                <w:w w:val="90"/>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1"/>
                <w:szCs w:val="21"/>
              </w:rPr>
            </w:pPr>
            <w:r>
              <w:rPr>
                <w:rFonts w:hint="eastAsia" w:ascii="宋体" w:hAnsi="宋体"/>
                <w:b/>
                <w:color w:val="000000"/>
                <w:sz w:val="21"/>
                <w:szCs w:val="21"/>
              </w:rPr>
              <w:t>管理评审</w:t>
            </w: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了解管理评审的策划</w:t>
            </w:r>
            <w:r>
              <w:rPr>
                <w:rFonts w:ascii="宋体" w:hAnsi="宋体"/>
                <w:b/>
                <w:color w:val="000000"/>
                <w:sz w:val="21"/>
                <w:szCs w:val="21"/>
              </w:rPr>
              <w:t xml:space="preserve">; </w:t>
            </w:r>
            <w:r>
              <w:rPr>
                <w:rFonts w:hint="eastAsia"/>
                <w:sz w:val="21"/>
                <w:szCs w:val="21"/>
              </w:rPr>
              <w:t>建立有《管理评审控制程序》，于</w:t>
            </w:r>
            <w:r>
              <w:rPr>
                <w:rFonts w:hint="eastAsia" w:ascii="宋体" w:hAnsi="宋体"/>
                <w:color w:val="auto"/>
                <w:kern w:val="0"/>
                <w:sz w:val="21"/>
                <w:szCs w:val="21"/>
              </w:rPr>
              <w:t>2021年 2月21日</w:t>
            </w:r>
            <w:r>
              <w:rPr>
                <w:rFonts w:hint="eastAsia"/>
                <w:sz w:val="21"/>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adjustRightInd w:val="0"/>
              <w:spacing w:line="400" w:lineRule="exact"/>
              <w:textAlignment w:val="baseline"/>
              <w:rPr>
                <w:rFonts w:ascii="宋体"/>
                <w:b/>
                <w:color w:val="000000"/>
                <w:sz w:val="21"/>
                <w:szCs w:val="21"/>
              </w:rPr>
            </w:pPr>
            <w:r>
              <w:rPr>
                <w:rFonts w:hint="eastAsia" w:ascii="宋体" w:hAnsi="宋体"/>
                <w:b/>
                <w:color w:val="000000"/>
                <w:sz w:val="21"/>
                <w:szCs w:val="21"/>
              </w:rPr>
              <w:t>了解管理评审输入是否充分</w:t>
            </w:r>
            <w:r>
              <w:rPr>
                <w:rFonts w:ascii="宋体" w:hAnsi="宋体"/>
                <w:b/>
                <w:color w:val="000000"/>
                <w:sz w:val="21"/>
                <w:szCs w:val="21"/>
              </w:rPr>
              <w:t xml:space="preserve">; </w:t>
            </w:r>
            <w:r>
              <w:rPr>
                <w:rFonts w:hint="eastAsia" w:ascii="宋体" w:hAnsi="宋体"/>
                <w:kern w:val="0"/>
                <w:sz w:val="21"/>
                <w:szCs w:val="21"/>
              </w:rPr>
              <w:t>提供主要输入材料有：各部门总结，</w:t>
            </w:r>
            <w:r>
              <w:rPr>
                <w:rFonts w:hint="eastAsia" w:ascii="宋体"/>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了解管理评审结论</w:t>
            </w:r>
            <w:r>
              <w:rPr>
                <w:rFonts w:ascii="宋体" w:hAnsi="宋体"/>
                <w:b/>
                <w:color w:val="000000"/>
                <w:sz w:val="21"/>
                <w:szCs w:val="21"/>
              </w:rPr>
              <w:t xml:space="preserve">; </w:t>
            </w:r>
            <w:r>
              <w:rPr>
                <w:rFonts w:hint="eastAsia"/>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 w:val="21"/>
                <w:szCs w:val="21"/>
              </w:rPr>
            </w:pPr>
            <w:r>
              <w:rPr>
                <w:rFonts w:hint="eastAsia" w:ascii="宋体" w:hAnsi="宋体"/>
                <w:b/>
                <w:color w:val="000000"/>
                <w:sz w:val="21"/>
                <w:szCs w:val="21"/>
              </w:rPr>
              <w:t>评价受审核方对内审和管理评审的关注情况，是否已为二阶段审核做好准备</w:t>
            </w:r>
            <w:r>
              <w:rPr>
                <w:rFonts w:ascii="宋体" w:hAnsi="宋体"/>
                <w:b/>
                <w:color w:val="000000"/>
                <w:sz w:val="21"/>
                <w:szCs w:val="21"/>
              </w:rPr>
              <w:t xml:space="preserve">: </w:t>
            </w:r>
            <w:r>
              <w:rPr>
                <w:rFonts w:hint="eastAsia" w:ascii="宋体" w:hAnsi="宋体"/>
                <w:b/>
                <w:color w:val="000000"/>
                <w:sz w:val="21"/>
                <w:szCs w:val="21"/>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auto"/>
                <w:sz w:val="20"/>
                <w:szCs w:val="20"/>
              </w:rPr>
            </w:pPr>
            <w:r>
              <w:rPr>
                <w:rFonts w:hint="eastAsia" w:ascii="宋体" w:hAnsi="宋体"/>
                <w:b/>
                <w:color w:val="auto"/>
                <w:spacing w:val="-10"/>
                <w:sz w:val="20"/>
                <w:szCs w:val="20"/>
                <w:lang w:eastAsia="zh-CN"/>
              </w:rPr>
              <w:t>■</w:t>
            </w:r>
            <w:r>
              <w:rPr>
                <w:rFonts w:hint="eastAsia" w:ascii="宋体" w:hAnsi="宋体"/>
                <w:b/>
                <w:color w:val="auto"/>
                <w:sz w:val="20"/>
                <w:szCs w:val="20"/>
              </w:rPr>
              <w:t>具备</w:t>
            </w:r>
          </w:p>
          <w:p>
            <w:pPr>
              <w:tabs>
                <w:tab w:val="left" w:pos="5770"/>
              </w:tabs>
              <w:spacing w:line="360" w:lineRule="exact"/>
              <w:rPr>
                <w:rFonts w:ascii="宋体"/>
                <w:b/>
                <w:color w:val="000000"/>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default" w:ascii="宋体" w:hAnsi="宋体" w:eastAsia="宋体"/>
          <w:b/>
          <w:color w:val="000000"/>
          <w:sz w:val="20"/>
          <w:szCs w:val="20"/>
          <w:lang w:val="en-US" w:eastAsia="zh-CN"/>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 xml:space="preserve">  </w:t>
      </w:r>
      <w:r>
        <w:rPr>
          <w:rFonts w:hint="eastAsia" w:ascii="宋体" w:hAnsi="宋体"/>
          <w:szCs w:val="21"/>
          <w:u w:val="single"/>
        </w:rPr>
        <w:t>钣金件、不锈钢制品（箱柜、支架）及通用机械设备加工</w:t>
      </w:r>
      <w:r>
        <w:rPr>
          <w:rFonts w:hint="eastAsia" w:ascii="宋体" w:hAnsi="宋体"/>
          <w:szCs w:val="21"/>
          <w:u w:val="single"/>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2045970</wp:posOffset>
            </wp:positionH>
            <wp:positionV relativeFrom="paragraph">
              <wp:posOffset>44450</wp:posOffset>
            </wp:positionV>
            <wp:extent cx="589280" cy="445770"/>
            <wp:effectExtent l="0" t="0" r="5080" b="1143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9280" cy="44577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cs="Times New Roman"/>
          <w:b/>
          <w:color w:val="000000"/>
        </w:rPr>
        <w:t>2021年03月26日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成都斯威特设备制造有限公司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FF0000"/>
                <w:sz w:val="24"/>
                <w:szCs w:val="24"/>
                <w:lang w:val="en-US" w:eastAsia="zh-CN"/>
              </w:rPr>
            </w:pPr>
            <w:r>
              <w:rPr>
                <w:rFonts w:hint="eastAsia" w:ascii="宋体"/>
                <w:color w:val="FF0000"/>
                <w:sz w:val="24"/>
                <w:szCs w:val="24"/>
                <w:lang w:val="en-US" w:eastAsia="zh-CN"/>
              </w:rPr>
              <w:t>1</w:t>
            </w:r>
          </w:p>
        </w:tc>
        <w:tc>
          <w:tcPr>
            <w:tcW w:w="5681" w:type="dxa"/>
            <w:vAlign w:val="center"/>
          </w:tcPr>
          <w:p>
            <w:pPr>
              <w:spacing w:line="400" w:lineRule="exact"/>
              <w:rPr>
                <w:rFonts w:hint="default"/>
                <w:color w:val="auto"/>
                <w:sz w:val="21"/>
                <w:szCs w:val="21"/>
                <w:highlight w:val="none"/>
                <w:lang w:val="en-US" w:eastAsia="zh-CN"/>
              </w:rPr>
            </w:pPr>
            <w:r>
              <w:rPr>
                <w:rFonts w:hint="eastAsia"/>
                <w:color w:val="auto"/>
                <w:sz w:val="21"/>
                <w:szCs w:val="21"/>
                <w:highlight w:val="none"/>
                <w:lang w:val="en-US" w:eastAsia="zh-CN"/>
              </w:rPr>
              <w:t>租赁使用的行车1台（出租方：成都威尔逊成套机械工程有限公司），提供的行车年检报告（报告编号：QZDJY201900411）已过期。</w:t>
            </w:r>
          </w:p>
          <w:p>
            <w:pPr>
              <w:pStyle w:val="5"/>
              <w:pBdr>
                <w:bottom w:val="none" w:color="auto" w:sz="0" w:space="0"/>
              </w:pBdr>
              <w:tabs>
                <w:tab w:val="center" w:pos="5737"/>
                <w:tab w:val="clear" w:pos="4153"/>
              </w:tabs>
              <w:jc w:val="both"/>
              <w:rPr>
                <w:rFonts w:hint="eastAsia" w:eastAsia="宋体"/>
                <w:color w:val="FF0000"/>
                <w:sz w:val="24"/>
                <w:szCs w:val="24"/>
                <w:lang w:val="en-US" w:eastAsia="zh-CN"/>
              </w:rPr>
            </w:pPr>
          </w:p>
        </w:tc>
        <w:tc>
          <w:tcPr>
            <w:tcW w:w="1688" w:type="dxa"/>
            <w:vAlign w:val="center"/>
          </w:tcPr>
          <w:p>
            <w:pPr>
              <w:pStyle w:val="5"/>
              <w:pBdr>
                <w:bottom w:val="none" w:color="auto" w:sz="0" w:space="0"/>
              </w:pBdr>
              <w:ind w:right="600"/>
              <w:jc w:val="both"/>
              <w:rPr>
                <w:color w:val="000000"/>
                <w:sz w:val="32"/>
                <w:szCs w:val="32"/>
              </w:rPr>
            </w:pPr>
            <w:bookmarkStart w:id="24" w:name="审核依据"/>
            <w:r>
              <w:rPr>
                <w:rFonts w:hint="eastAsia" w:ascii="宋体" w:hAnsi="宋体"/>
                <w:snapToGrid w:val="0"/>
                <w:color w:val="000000"/>
                <w:kern w:val="0"/>
                <w:sz w:val="21"/>
                <w:szCs w:val="21"/>
              </w:rPr>
              <w:t>GB/T19001-2016/ISO9001:2015</w:t>
            </w:r>
            <w:bookmarkEnd w:id="24"/>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8"/>
                <w:szCs w:val="28"/>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712470</wp:posOffset>
                  </wp:positionH>
                  <wp:positionV relativeFrom="paragraph">
                    <wp:posOffset>12065</wp:posOffset>
                  </wp:positionV>
                  <wp:extent cx="506095" cy="382905"/>
                  <wp:effectExtent l="0" t="0" r="12065" b="13335"/>
                  <wp:wrapNone/>
                  <wp:docPr id="3"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签名.jpg"/>
                          <pic:cNvPicPr>
                            <a:picLocks noChangeAspect="1"/>
                          </pic:cNvPicPr>
                        </pic:nvPicPr>
                        <pic:blipFill>
                          <a:blip r:embed="rId6"/>
                          <a:stretch>
                            <a:fillRect/>
                          </a:stretch>
                        </pic:blipFill>
                        <pic:spPr>
                          <a:xfrm>
                            <a:off x="0" y="0"/>
                            <a:ext cx="506095" cy="38290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color w:val="000000"/>
                <w:szCs w:val="21"/>
              </w:rPr>
              <w:t>2021年03月26日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color w:val="000000"/>
                <w:szCs w:val="21"/>
              </w:rPr>
              <w:t>2021年03月26日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704850</wp:posOffset>
                  </wp:positionH>
                  <wp:positionV relativeFrom="paragraph">
                    <wp:posOffset>215265</wp:posOffset>
                  </wp:positionV>
                  <wp:extent cx="546100" cy="413385"/>
                  <wp:effectExtent l="0" t="0" r="2540" b="13335"/>
                  <wp:wrapNone/>
                  <wp:docPr id="4"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签名.jpg"/>
                          <pic:cNvPicPr>
                            <a:picLocks noChangeAspect="1"/>
                          </pic:cNvPicPr>
                        </pic:nvPicPr>
                        <pic:blipFill>
                          <a:blip r:embed="rId6"/>
                          <a:stretch>
                            <a:fillRect/>
                          </a:stretch>
                        </pic:blipFill>
                        <pic:spPr>
                          <a:xfrm>
                            <a:off x="0" y="0"/>
                            <a:ext cx="546100" cy="41338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bookmarkStart w:id="25" w:name="_GoBack"/>
            <w:bookmarkEnd w:id="25"/>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2021年03月2</w:t>
            </w:r>
            <w:r>
              <w:rPr>
                <w:rFonts w:hint="eastAsia"/>
                <w:color w:val="000000"/>
                <w:szCs w:val="21"/>
                <w:lang w:val="en-US" w:eastAsia="zh-CN"/>
              </w:rPr>
              <w:t>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FF351B"/>
    <w:rsid w:val="1F5C5E59"/>
    <w:rsid w:val="505D4EB7"/>
    <w:rsid w:val="5F757EC0"/>
    <w:rsid w:val="5F9F7274"/>
    <w:rsid w:val="78B01BCE"/>
    <w:rsid w:val="7C8D4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2021-04-01T02:48:17Z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1EE8932301E2488FAABF63F0CCE6C38D</vt:lpwstr>
  </property>
</Properties>
</file>