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受审核部门：市场部  主管领导：周伟  陪同人员：饶念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伍光华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审核时间：</w:t>
            </w:r>
            <w:r>
              <w:rPr>
                <w:rFonts w:ascii="楷体" w:hAnsi="楷体" w:eastAsia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楷体" w:hAnsi="楷体" w:eastAsia="楷体" w:cs="Arial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hint="eastAsia" w:ascii="楷体" w:hAnsi="楷体" w:eastAsia="楷体" w:cs="Arial"/>
                <w:szCs w:val="21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8.5.3顾客或外部供方的财产、9.1.2顾客满意、8.5.5交付后的活动，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楷体" w:hAnsi="楷体" w:eastAsia="楷体" w:cs="Arial"/>
                <w:szCs w:val="21"/>
              </w:rPr>
            </w:pPr>
            <w:r>
              <w:rPr>
                <w:rFonts w:hint="eastAsia" w:ascii="楷体" w:hAnsi="楷体" w:eastAsia="楷体" w:cs="Arial"/>
                <w:szCs w:val="21"/>
              </w:rPr>
              <w:t>EMS: 5.3组织的岗位、职责和权限、6.2环境目标、6.1.2环境因素、8.1运行策划和控制、8.2应急准备和响应，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Q</w:t>
            </w:r>
            <w:r>
              <w:rPr>
                <w:rFonts w:hint="eastAsia" w:ascii="楷体" w:hAnsi="楷体" w:eastAsia="楷体" w:cs="Arial"/>
                <w:sz w:val="24"/>
                <w:szCs w:val="24"/>
                <w:lang w:val="en-US" w:eastAsia="zh-CN"/>
              </w:rPr>
              <w:t>EO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5.3</w:t>
            </w:r>
          </w:p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审核过程中了解到部门主要负责：市场调研与开发，商务谈判及合同评审，顾客档案建立，售后服务及顾客满意度评价与分析，本部门环境因素和危险源识别和控制，本部门目标制定与实施，与相关方做好沟通等。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目标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Q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EO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6.2</w:t>
            </w:r>
          </w:p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Lines="30" w:afterLines="30" w:line="288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部门目标：                                               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.2考核情况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确保有效合同履约率100%；                                        100%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顾客满意度≥96%；                                                98.3%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顾客反馈及时处理率≧95%                                         100%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交通意外伤害率为0                                                 0次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固体废弃物分类处理100%；                                          100%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触电事故发生率为0：                                                0次</w:t>
            </w:r>
          </w:p>
          <w:p>
            <w:pPr>
              <w:spacing w:beforeLines="30" w:afterLines="30" w:line="288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考核情况：经查202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.2质量\环境\职业健康安全目标分解考核表，各目标达成要求。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产品和服务的要求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楷体" w:hAnsi="楷体" w:eastAsia="楷体" w:cs="Arial"/>
                <w:sz w:val="24"/>
                <w:szCs w:val="24"/>
              </w:rPr>
              <w:t>Q8.2</w:t>
            </w:r>
          </w:p>
        </w:tc>
        <w:tc>
          <w:tcPr>
            <w:tcW w:w="10004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市场部负责人介绍沟通方式：主要是电话、资料传递、交流会等形式宣传本公司有关产品及公司的有关信誉等。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针对合同洽谈、签订、履行过程中的问题，及时电话联系，明确各自的要求，执行合同。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目前沟通效果良好。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公司主要通过客户的走访、交流会等了解市场的需求状态。主要以合同、电话等形式确定与产品有关的要求，均已保存或进行相应的记录。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由市场部内勤直接对顾客要求进行识别、确认，对于存在的问题直接提出和顾客进行交流沟通，需要时由咨询部人员参与沟通确认。然后由市场部经理组织人员评审，现场合同评审记录，经评审能满足要求后由总经理或其授权人签字并加盖公司印章，然后回传给顾客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抽</w:t>
            </w:r>
            <w:r>
              <w:rPr>
                <w:rFonts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）查</w:t>
            </w:r>
            <w:r>
              <w:rPr>
                <w:rFonts w:ascii="楷体" w:hAnsi="楷体" w:eastAsia="楷体" w:cs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日的环境影响评价项目合同，包括了如下内容：需方名称：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江西天宇化工有限公司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，项目名称：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每年5000吨取代苯乙腈、每年2300吨丙硫菌唑中间体、每年3200吨肟菌脂中间体建设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环境影响评价报告编制项目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，要求：编制环境影像学影响报告书，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向客户提交经专家评审通过的环评文件送审稿；在合同中明确了质量标准、费用结算、付款方式、违约责任等要求，查合同评审记录表，20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.4日李增全、饶念等评审，可以签订该合同，同日经总经理签字盖章后回传了顾客。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）查</w:t>
            </w:r>
            <w:r>
              <w:rPr>
                <w:rFonts w:ascii="楷体" w:hAnsi="楷体" w:eastAsia="楷体" w:cs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2日的环境影响评价项目合同，包括了如下内容：需方名称：江西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百士德环境科技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有限公司，项目名称：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工业废物综合利用技术改造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项目环境影响评价报告书编制项目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，要求：编制环境影像学影响报告书，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期限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一年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，在合同中明确了质量标准、阶段性资料提交要求，费用结算、付款方式、违约责任等要求，查合同评审记录表20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黄佳英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</w:rPr>
              <w:t>、饶念等评审，可以签订该合同，同日经总经理签字盖章后回传了顾客。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3）抽查20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环境影响评价项目合同，包括了如下内容：需方名称：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新态环保科技（佛山）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有限公司，项目名称：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江西于都万年青聚通环保有限公司水泥窑协同处置工业固体废物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环境影响评价项目；在合同中明确了质量标准、阶段性资料提交要求，费用结算、付款方式、违约责任等要求，查合同评审记录表20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5黄佳英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、饶念等评审，可以签订该合同，同日经总经理签字盖章后回传了顾客。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再抽查其他环境影响评价项目合同，均进行了合同评审。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以上评审均在签订正式合同之前进行。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-6" w:rightChars="-3"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市场部经理介绍：目前尚未发生合同更改的情况，询问对更改情况的控制较为明确清楚。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产品要求的评审基本符合标准要求。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顾客或外部供方的财产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Arial"/>
                <w:sz w:val="24"/>
                <w:szCs w:val="24"/>
              </w:rPr>
              <w:t>Q8.5.3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在管理手册中，规定了对顾客或外部供方财产的管理，明确了对顾客或外部供方财产的登记、验收、保护、使用等相关要求。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目前公司无外部供方的财产，涉及的顾客财产仅为顾客信息，公司对顾客相关信息做相关保密规定。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顾客或外部供方的财产管理符合要求。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交付后活动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/>
                <w:b/>
                <w:color w:val="000000"/>
                <w:sz w:val="24"/>
                <w:szCs w:val="24"/>
              </w:rPr>
            </w:pPr>
            <w:r>
              <w:rPr>
                <w:rFonts w:ascii="楷体" w:hAnsi="楷体" w:eastAsia="楷体" w:cs="宋体"/>
                <w:color w:val="000000"/>
                <w:sz w:val="24"/>
                <w:szCs w:val="24"/>
              </w:rPr>
              <w:t>Q8.5.5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如客户在使用过程中出现问题，先通过电话进行解决，如远程无法解决，派专人到客户现场实地协调解决。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客户满意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ascii="楷体" w:hAnsi="楷体" w:eastAsia="楷体" w:cs="Arial"/>
                <w:sz w:val="24"/>
                <w:szCs w:val="24"/>
              </w:rPr>
              <w:t>Q9.1.2</w:t>
            </w: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公司编制《顾客满意度控制程序</w:t>
            </w:r>
            <w:r>
              <w:rPr>
                <w:rFonts w:ascii="楷体" w:hAnsi="楷体" w:eastAsia="楷体"/>
                <w:sz w:val="24"/>
                <w:szCs w:val="24"/>
              </w:rPr>
              <w:t>ZJHJ-CX21-2019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》，通过拜访、电话、电邮、问卷等形式，收集顾客反馈信息，监视顾客满意程度，评价体系的有效性，寻求体系改进的机会。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提供如客户：江西东江环保有限公司、瀚蓝工业服务（赣州）有限公司、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会昌红狮环保科技有限公司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江西省华赣环境新余有限公司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江西景旺精密电路有限公司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吉安生益电子有限公司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江西玉山南方水泥有限公司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高安红狮水泥有限公司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等9家顾客的《顾客满意度调查记录表》，调查包含：质量、交货期、服务、价格等指标，满意程度分为很满意---不满意等四个档次。从提供的调查表来看，客户对组织评价均为“很满意”、“满意”。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查见</w:t>
            </w:r>
            <w:r>
              <w:rPr>
                <w:rFonts w:ascii="楷体" w:hAnsi="楷体" w:eastAsia="楷体" w:cs="Arial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Arial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楷体" w:hAnsi="楷体" w:eastAsia="楷体" w:cs="Arial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Arial"/>
                <w:sz w:val="24"/>
                <w:szCs w:val="24"/>
                <w:lang w:val="en-US" w:eastAsia="zh-CN"/>
              </w:rPr>
              <w:t>0</w:t>
            </w:r>
            <w:r>
              <w:rPr>
                <w:rFonts w:ascii="楷体" w:hAnsi="楷体" w:eastAsia="楷体" w:cs="Arial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25日的《顾客满意度调查分析》，对顾客满意度指标完成情况、顾客建议改进方向等予以分析汇总，经评价测算客户满意度得分98分。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企业对顾客满意度的调查、分析利用进行了策划并实施，基本符合标准条款的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6597"/>
              </w:tabs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  <w:r>
              <w:rPr>
                <w:rFonts w:ascii="楷体" w:hAnsi="楷体" w:eastAsia="楷体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危险源辨识与评价</w:t>
            </w:r>
          </w:p>
        </w:tc>
        <w:tc>
          <w:tcPr>
            <w:tcW w:w="1311" w:type="dxa"/>
          </w:tcPr>
          <w:p>
            <w:pPr>
              <w:tabs>
                <w:tab w:val="left" w:pos="6597"/>
              </w:tabs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E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6.1.2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查有：《环境因素和危险源识别评价与控制程序</w:t>
            </w:r>
            <w:r>
              <w:rPr>
                <w:rFonts w:ascii="楷体" w:hAnsi="楷体" w:eastAsia="楷体"/>
                <w:sz w:val="24"/>
                <w:szCs w:val="24"/>
              </w:rPr>
              <w:t>ZJHJ-CX02-2019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》</w:t>
            </w:r>
            <w:r>
              <w:rPr>
                <w:rFonts w:ascii="楷体" w:hAnsi="楷体" w:eastAsia="楷体"/>
                <w:sz w:val="24"/>
                <w:szCs w:val="24"/>
              </w:rPr>
              <w:t>,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市场部按照办公过程和销售服务过程对环境因素、危险源进行了辨识，辨识时考虑了三种时态：过去、现在和将来，和三种状态：正常、异常和紧急。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市场部提供了“环境因素识别与评价表”，识别了本部门在办公、销售等各有关过程的环境因素，包括水电消耗、办公纸张消耗、车辆尾气排放、火灾发生等环境因素。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查“重要环境因素清单”，涉及市场部重要环境因素：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潜在火灾、固体废弃物的排放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控制措施：固废分类存放、垃圾等由行政部负责按规定处置，日常检查、培训教育，配备有消防器材等措施。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查“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危险源识别及风险评价表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”，识别了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电脑、复印辐射、办公电器漏电触电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、违章用电、运输汽车事故等危险源。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查“不可接受危险源清单”，涉及本部门的不可接受风险，包括：潜在火灾、触电等。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控制措施：危险源控制执行管理方案、配备消防器材、个体防护、日常检查、培训教育、应急预案等运行控制措施。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6597"/>
              </w:tabs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1311" w:type="dxa"/>
          </w:tcPr>
          <w:p>
            <w:pPr>
              <w:tabs>
                <w:tab w:val="left" w:pos="6597"/>
              </w:tabs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E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1.编制并实施了运行控制程序</w:t>
            </w:r>
            <w:r>
              <w:rPr>
                <w:rFonts w:ascii="楷体" w:hAnsi="楷体" w:eastAsia="楷体"/>
                <w:sz w:val="24"/>
                <w:szCs w:val="24"/>
              </w:rPr>
              <w:t>ZJHJ-CX06-2019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、资源能源控制程序</w:t>
            </w:r>
            <w:r>
              <w:rPr>
                <w:rFonts w:ascii="楷体" w:hAnsi="楷体" w:eastAsia="楷体"/>
                <w:sz w:val="24"/>
                <w:szCs w:val="24"/>
              </w:rPr>
              <w:t>ZJHJ-CX10-2019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、废弃物控制程序</w:t>
            </w:r>
            <w:r>
              <w:rPr>
                <w:rFonts w:ascii="楷体" w:hAnsi="楷体" w:eastAsia="楷体"/>
                <w:sz w:val="24"/>
                <w:szCs w:val="24"/>
              </w:rPr>
              <w:t>ZJHJ-CX07-2019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、消防控制程序等环境</w:t>
            </w:r>
            <w:r>
              <w:rPr>
                <w:rFonts w:ascii="楷体" w:hAnsi="楷体" w:eastAsia="楷体"/>
                <w:sz w:val="24"/>
                <w:szCs w:val="24"/>
              </w:rPr>
              <w:t>ZJHJ-CX09-2019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、职业健康安全控制程序和管理制度。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公司目前销售的产品是环境影响评价、技术咨询与服务（为顾客编制环境影响评价报告书等环评文件）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3.现场查看市场部办公室有垃圾桶，有禁止吸烟标识，办公过程产生的垃圾由公司行政部统一处理，部门不单独处理。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4.市场部办公室内主要是电的使用，现场查看电路、电源正常，没有露电现象发生。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5.对外招投标和业务洽谈时明确承诺公司产品环保、节能、无毒无害。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6.对于2020年度此次新型冠状病毒感染的肺炎疫情防控事宜，执行公司要求进行人员出入登记，量体温，戴口罩等。人员出入填写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《企业出入人员信息登记表》，记录了出入体温、咳嗽等内容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按要求基本做好了控制。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部门运行控制基本符合要求。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6597"/>
              </w:tabs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应急准备和响应</w:t>
            </w:r>
          </w:p>
        </w:tc>
        <w:tc>
          <w:tcPr>
            <w:tcW w:w="1311" w:type="dxa"/>
          </w:tcPr>
          <w:p>
            <w:pPr>
              <w:tabs>
                <w:tab w:val="left" w:pos="6597"/>
              </w:tabs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E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8.2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制定实施了《应急准备和响应控制程序</w:t>
            </w:r>
            <w:r>
              <w:rPr>
                <w:rFonts w:ascii="楷体" w:hAnsi="楷体" w:eastAsia="楷体"/>
                <w:sz w:val="24"/>
                <w:szCs w:val="24"/>
              </w:rPr>
              <w:t>ZJHJ-CX11-2019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》，制定了火灾、触电等应急预案。内容包括：目的、适用范围、职责、应急处理细则、演习、必备资料等。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日参加了由行政部组织的火灾应急演练。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日参见了由行程部组织的触电应急救援演练。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市场部区域由专人每月巡查消防设施管理情况，查见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.1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日、202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.1.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日、</w:t>
            </w:r>
            <w:r>
              <w:rPr>
                <w:rFonts w:ascii="楷体" w:hAnsi="楷体" w:eastAsia="楷体" w:cs="宋体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楷体" w:hAnsi="楷体" w:eastAsia="楷体" w:cs="宋体"/>
                <w:sz w:val="24"/>
                <w:szCs w:val="24"/>
              </w:rPr>
              <w:t>.2.2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日检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消防安全检查记录，未发现异常，检查人饶念。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针对近期出现的新型冠状病毒引发的肺炎疫情，公司制定了《疫情预案》，通过视频看到公司已经恢复生产，员工佩带口罩在岗位上操作，进出厂区测量体温，严格按政府和预案的要求执行。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合格</w:t>
            </w:r>
          </w:p>
        </w:tc>
      </w:tr>
    </w:tbl>
    <w:p>
      <w:pPr>
        <w:pStyle w:val="3"/>
        <w:rPr>
          <w:rFonts w:ascii="楷体" w:hAnsi="楷体" w:eastAsia="楷体"/>
        </w:rPr>
      </w:pPr>
    </w:p>
    <w:p>
      <w:pPr>
        <w:pStyle w:val="3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</w:t>
      </w:r>
      <w:r>
        <w:rPr>
          <w:rFonts w:ascii="楷体" w:hAnsi="楷体" w:eastAsia="楷体"/>
        </w:rPr>
        <w:t>N</w:t>
      </w:r>
    </w:p>
    <w:p>
      <w:pPr>
        <w:pStyle w:val="3"/>
        <w:rPr>
          <w:rFonts w:ascii="楷体" w:hAnsi="楷体" w:eastAsia="楷体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6</w:t>
    </w:r>
    <w:r>
      <w:rPr>
        <w:b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eastAsia"/>
      </w:rPr>
      <w:t>北京国标联合认证有限公司</w:t>
    </w:r>
    <w:r>
      <w:rPr>
        <w:rStyle w:val="10"/>
      </w:rPr>
      <w:tab/>
    </w:r>
    <w:r>
      <w:rPr>
        <w:rStyle w:val="10"/>
      </w:rPr>
      <w:tab/>
    </w:r>
    <w:r>
      <w:rPr>
        <w:rStyle w:val="10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554.75pt;margin-top:2.2pt;height:20.2pt;width:172pt;z-index:251659264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>
                <w:r>
                  <w:t>ISC-B-I</w:t>
                </w:r>
                <w:r>
                  <w:rPr>
                    <w:sz w:val="18"/>
                    <w:szCs w:val="18"/>
                  </w:rPr>
                  <w:t>I-10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10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973B4"/>
    <w:rsid w:val="00004817"/>
    <w:rsid w:val="000214B6"/>
    <w:rsid w:val="0002531E"/>
    <w:rsid w:val="0003373A"/>
    <w:rsid w:val="000412F6"/>
    <w:rsid w:val="00050829"/>
    <w:rsid w:val="0005199E"/>
    <w:rsid w:val="00053861"/>
    <w:rsid w:val="00054863"/>
    <w:rsid w:val="0005697E"/>
    <w:rsid w:val="000579CF"/>
    <w:rsid w:val="000602FA"/>
    <w:rsid w:val="0007023B"/>
    <w:rsid w:val="00073828"/>
    <w:rsid w:val="000803D0"/>
    <w:rsid w:val="00082216"/>
    <w:rsid w:val="00082398"/>
    <w:rsid w:val="00082817"/>
    <w:rsid w:val="000849D2"/>
    <w:rsid w:val="00086F5D"/>
    <w:rsid w:val="00095FE1"/>
    <w:rsid w:val="000A2B07"/>
    <w:rsid w:val="000A5E44"/>
    <w:rsid w:val="000B1394"/>
    <w:rsid w:val="000B40BD"/>
    <w:rsid w:val="000B51BD"/>
    <w:rsid w:val="000C0F8E"/>
    <w:rsid w:val="000C123B"/>
    <w:rsid w:val="000C6B55"/>
    <w:rsid w:val="000D0896"/>
    <w:rsid w:val="000D5401"/>
    <w:rsid w:val="000D697A"/>
    <w:rsid w:val="000E2B69"/>
    <w:rsid w:val="000E3EE3"/>
    <w:rsid w:val="000E7EF7"/>
    <w:rsid w:val="000F35F1"/>
    <w:rsid w:val="000F7D53"/>
    <w:rsid w:val="001022F1"/>
    <w:rsid w:val="0010278D"/>
    <w:rsid w:val="001037D5"/>
    <w:rsid w:val="00112B26"/>
    <w:rsid w:val="00112FD4"/>
    <w:rsid w:val="001149C9"/>
    <w:rsid w:val="00121EA6"/>
    <w:rsid w:val="00142A5B"/>
    <w:rsid w:val="0014561D"/>
    <w:rsid w:val="00145688"/>
    <w:rsid w:val="00164AE5"/>
    <w:rsid w:val="001677C1"/>
    <w:rsid w:val="00171C59"/>
    <w:rsid w:val="001918ED"/>
    <w:rsid w:val="00192A7F"/>
    <w:rsid w:val="00194706"/>
    <w:rsid w:val="00197C93"/>
    <w:rsid w:val="001A2D7F"/>
    <w:rsid w:val="001A3DF8"/>
    <w:rsid w:val="001A572D"/>
    <w:rsid w:val="001B5FE9"/>
    <w:rsid w:val="001C09DD"/>
    <w:rsid w:val="001D4AD8"/>
    <w:rsid w:val="001D54FF"/>
    <w:rsid w:val="001E1974"/>
    <w:rsid w:val="001E4FED"/>
    <w:rsid w:val="001E6C09"/>
    <w:rsid w:val="00202BC2"/>
    <w:rsid w:val="00207191"/>
    <w:rsid w:val="002104DD"/>
    <w:rsid w:val="00214113"/>
    <w:rsid w:val="00215081"/>
    <w:rsid w:val="00217F1D"/>
    <w:rsid w:val="00222532"/>
    <w:rsid w:val="00237445"/>
    <w:rsid w:val="00257930"/>
    <w:rsid w:val="002651A6"/>
    <w:rsid w:val="00270F81"/>
    <w:rsid w:val="00272C8B"/>
    <w:rsid w:val="002738A8"/>
    <w:rsid w:val="00287A2B"/>
    <w:rsid w:val="002973F0"/>
    <w:rsid w:val="002975C1"/>
    <w:rsid w:val="002A0E6E"/>
    <w:rsid w:val="002A33CC"/>
    <w:rsid w:val="002B0BF6"/>
    <w:rsid w:val="002B1808"/>
    <w:rsid w:val="002C1ACE"/>
    <w:rsid w:val="002C3E0D"/>
    <w:rsid w:val="002D38C3"/>
    <w:rsid w:val="002D41FB"/>
    <w:rsid w:val="002E0587"/>
    <w:rsid w:val="002E07A1"/>
    <w:rsid w:val="002E1E1D"/>
    <w:rsid w:val="002E7E5D"/>
    <w:rsid w:val="002F77F9"/>
    <w:rsid w:val="003023CC"/>
    <w:rsid w:val="00314692"/>
    <w:rsid w:val="00317401"/>
    <w:rsid w:val="0032397C"/>
    <w:rsid w:val="00326FC1"/>
    <w:rsid w:val="00337922"/>
    <w:rsid w:val="00340867"/>
    <w:rsid w:val="00341208"/>
    <w:rsid w:val="00342857"/>
    <w:rsid w:val="00342CCB"/>
    <w:rsid w:val="00343857"/>
    <w:rsid w:val="00344D38"/>
    <w:rsid w:val="00347CB2"/>
    <w:rsid w:val="003608CB"/>
    <w:rsid w:val="003627B6"/>
    <w:rsid w:val="003634F1"/>
    <w:rsid w:val="00366FA6"/>
    <w:rsid w:val="003708D5"/>
    <w:rsid w:val="0038061A"/>
    <w:rsid w:val="0038063B"/>
    <w:rsid w:val="00380837"/>
    <w:rsid w:val="00381BEB"/>
    <w:rsid w:val="00382EDD"/>
    <w:rsid w:val="003836CA"/>
    <w:rsid w:val="003844E1"/>
    <w:rsid w:val="00384655"/>
    <w:rsid w:val="00384A69"/>
    <w:rsid w:val="00386A98"/>
    <w:rsid w:val="00390345"/>
    <w:rsid w:val="003A1E9C"/>
    <w:rsid w:val="003A2003"/>
    <w:rsid w:val="003C0FC6"/>
    <w:rsid w:val="003D0F55"/>
    <w:rsid w:val="003D5B7A"/>
    <w:rsid w:val="003D6BE3"/>
    <w:rsid w:val="003E0E52"/>
    <w:rsid w:val="003E534E"/>
    <w:rsid w:val="003F0551"/>
    <w:rsid w:val="003F20A5"/>
    <w:rsid w:val="003F5AFC"/>
    <w:rsid w:val="00400B96"/>
    <w:rsid w:val="0040215D"/>
    <w:rsid w:val="00405D5F"/>
    <w:rsid w:val="00410914"/>
    <w:rsid w:val="00413A77"/>
    <w:rsid w:val="00414A26"/>
    <w:rsid w:val="00415AA3"/>
    <w:rsid w:val="00420C60"/>
    <w:rsid w:val="00422783"/>
    <w:rsid w:val="00430432"/>
    <w:rsid w:val="00433759"/>
    <w:rsid w:val="00434536"/>
    <w:rsid w:val="0043494E"/>
    <w:rsid w:val="00437092"/>
    <w:rsid w:val="004414A5"/>
    <w:rsid w:val="00447091"/>
    <w:rsid w:val="00456697"/>
    <w:rsid w:val="0046058C"/>
    <w:rsid w:val="00460DE3"/>
    <w:rsid w:val="0046133E"/>
    <w:rsid w:val="00464BAB"/>
    <w:rsid w:val="00465FE1"/>
    <w:rsid w:val="00475491"/>
    <w:rsid w:val="004869FB"/>
    <w:rsid w:val="00491735"/>
    <w:rsid w:val="004944BB"/>
    <w:rsid w:val="00494A46"/>
    <w:rsid w:val="00494F89"/>
    <w:rsid w:val="004A0701"/>
    <w:rsid w:val="004A2955"/>
    <w:rsid w:val="004B217F"/>
    <w:rsid w:val="004B2746"/>
    <w:rsid w:val="004B3E7F"/>
    <w:rsid w:val="004B549E"/>
    <w:rsid w:val="004C07FE"/>
    <w:rsid w:val="004C2A19"/>
    <w:rsid w:val="004C6045"/>
    <w:rsid w:val="004D22E0"/>
    <w:rsid w:val="004D391C"/>
    <w:rsid w:val="004D3E4C"/>
    <w:rsid w:val="004D41EE"/>
    <w:rsid w:val="004D7519"/>
    <w:rsid w:val="004E27B4"/>
    <w:rsid w:val="004F185D"/>
    <w:rsid w:val="004F3F59"/>
    <w:rsid w:val="005056ED"/>
    <w:rsid w:val="00511BA6"/>
    <w:rsid w:val="00517E4C"/>
    <w:rsid w:val="0052007E"/>
    <w:rsid w:val="00521CF0"/>
    <w:rsid w:val="005247CE"/>
    <w:rsid w:val="0053208B"/>
    <w:rsid w:val="005331FF"/>
    <w:rsid w:val="00534814"/>
    <w:rsid w:val="00536930"/>
    <w:rsid w:val="00536A22"/>
    <w:rsid w:val="00551AE7"/>
    <w:rsid w:val="0055497C"/>
    <w:rsid w:val="00560A2A"/>
    <w:rsid w:val="00564E53"/>
    <w:rsid w:val="00576CDA"/>
    <w:rsid w:val="00583277"/>
    <w:rsid w:val="00583C40"/>
    <w:rsid w:val="00592C3E"/>
    <w:rsid w:val="00594838"/>
    <w:rsid w:val="005A000F"/>
    <w:rsid w:val="005B173D"/>
    <w:rsid w:val="005B6888"/>
    <w:rsid w:val="005C1922"/>
    <w:rsid w:val="005D2643"/>
    <w:rsid w:val="005D7FAE"/>
    <w:rsid w:val="005E28A0"/>
    <w:rsid w:val="005F6C65"/>
    <w:rsid w:val="00600F02"/>
    <w:rsid w:val="0060444D"/>
    <w:rsid w:val="00606DFD"/>
    <w:rsid w:val="00622EE3"/>
    <w:rsid w:val="00623B12"/>
    <w:rsid w:val="0064044B"/>
    <w:rsid w:val="00642776"/>
    <w:rsid w:val="00644FE2"/>
    <w:rsid w:val="00645FB8"/>
    <w:rsid w:val="00651986"/>
    <w:rsid w:val="006545E8"/>
    <w:rsid w:val="00664736"/>
    <w:rsid w:val="00665894"/>
    <w:rsid w:val="00665980"/>
    <w:rsid w:val="006703D2"/>
    <w:rsid w:val="006737A3"/>
    <w:rsid w:val="0067640C"/>
    <w:rsid w:val="006836D9"/>
    <w:rsid w:val="00695256"/>
    <w:rsid w:val="006954CE"/>
    <w:rsid w:val="00695570"/>
    <w:rsid w:val="00695BA1"/>
    <w:rsid w:val="00696AF1"/>
    <w:rsid w:val="006A3B31"/>
    <w:rsid w:val="006A68F3"/>
    <w:rsid w:val="006A6A80"/>
    <w:rsid w:val="006B4127"/>
    <w:rsid w:val="006C24BF"/>
    <w:rsid w:val="006C40B9"/>
    <w:rsid w:val="006C4146"/>
    <w:rsid w:val="006D08DD"/>
    <w:rsid w:val="006D6E89"/>
    <w:rsid w:val="006E678B"/>
    <w:rsid w:val="0070367F"/>
    <w:rsid w:val="00712F3C"/>
    <w:rsid w:val="0071390C"/>
    <w:rsid w:val="007170AA"/>
    <w:rsid w:val="0072373D"/>
    <w:rsid w:val="00732B66"/>
    <w:rsid w:val="007378CB"/>
    <w:rsid w:val="00737C8F"/>
    <w:rsid w:val="007406DE"/>
    <w:rsid w:val="00743E79"/>
    <w:rsid w:val="00744BEA"/>
    <w:rsid w:val="00751532"/>
    <w:rsid w:val="00751C37"/>
    <w:rsid w:val="0075769B"/>
    <w:rsid w:val="00757C58"/>
    <w:rsid w:val="00760447"/>
    <w:rsid w:val="00760481"/>
    <w:rsid w:val="007757F3"/>
    <w:rsid w:val="007815DC"/>
    <w:rsid w:val="00791F6D"/>
    <w:rsid w:val="007A47FB"/>
    <w:rsid w:val="007B106B"/>
    <w:rsid w:val="007B275D"/>
    <w:rsid w:val="007B768F"/>
    <w:rsid w:val="007C0A64"/>
    <w:rsid w:val="007C3D0D"/>
    <w:rsid w:val="007E6AEB"/>
    <w:rsid w:val="007E77A0"/>
    <w:rsid w:val="007F01EC"/>
    <w:rsid w:val="007F7DF2"/>
    <w:rsid w:val="007F7DF4"/>
    <w:rsid w:val="0080155B"/>
    <w:rsid w:val="008079FA"/>
    <w:rsid w:val="00810D58"/>
    <w:rsid w:val="008150B9"/>
    <w:rsid w:val="00815D56"/>
    <w:rsid w:val="00822ED4"/>
    <w:rsid w:val="008276A2"/>
    <w:rsid w:val="00835B31"/>
    <w:rsid w:val="00843D67"/>
    <w:rsid w:val="00847F60"/>
    <w:rsid w:val="00853BC9"/>
    <w:rsid w:val="00860007"/>
    <w:rsid w:val="008646DE"/>
    <w:rsid w:val="00864902"/>
    <w:rsid w:val="00864BE7"/>
    <w:rsid w:val="00865200"/>
    <w:rsid w:val="00871695"/>
    <w:rsid w:val="00876BC1"/>
    <w:rsid w:val="00884FE5"/>
    <w:rsid w:val="00891C25"/>
    <w:rsid w:val="008973EE"/>
    <w:rsid w:val="00897B67"/>
    <w:rsid w:val="008B1584"/>
    <w:rsid w:val="008B6F0D"/>
    <w:rsid w:val="008C0A5A"/>
    <w:rsid w:val="008D089D"/>
    <w:rsid w:val="008E24A5"/>
    <w:rsid w:val="008F0B04"/>
    <w:rsid w:val="008F4ED3"/>
    <w:rsid w:val="008F63B8"/>
    <w:rsid w:val="008F7C55"/>
    <w:rsid w:val="00924567"/>
    <w:rsid w:val="00926BFD"/>
    <w:rsid w:val="0092799F"/>
    <w:rsid w:val="00930694"/>
    <w:rsid w:val="0093521F"/>
    <w:rsid w:val="00945677"/>
    <w:rsid w:val="009520AB"/>
    <w:rsid w:val="00955B84"/>
    <w:rsid w:val="00962F78"/>
    <w:rsid w:val="00965C9D"/>
    <w:rsid w:val="0096609F"/>
    <w:rsid w:val="00971600"/>
    <w:rsid w:val="00975201"/>
    <w:rsid w:val="009769D6"/>
    <w:rsid w:val="00984342"/>
    <w:rsid w:val="009973B4"/>
    <w:rsid w:val="009A1B11"/>
    <w:rsid w:val="009A3AF9"/>
    <w:rsid w:val="009A4A41"/>
    <w:rsid w:val="009A4EC1"/>
    <w:rsid w:val="009B5033"/>
    <w:rsid w:val="009B7EB8"/>
    <w:rsid w:val="009E2444"/>
    <w:rsid w:val="009E30DA"/>
    <w:rsid w:val="009E6193"/>
    <w:rsid w:val="009E645A"/>
    <w:rsid w:val="009E7DD1"/>
    <w:rsid w:val="009F7EED"/>
    <w:rsid w:val="00A02A9D"/>
    <w:rsid w:val="00A138EC"/>
    <w:rsid w:val="00A3649D"/>
    <w:rsid w:val="00A36D0F"/>
    <w:rsid w:val="00A411EF"/>
    <w:rsid w:val="00A56A55"/>
    <w:rsid w:val="00A619FC"/>
    <w:rsid w:val="00A66648"/>
    <w:rsid w:val="00A73202"/>
    <w:rsid w:val="00A801DE"/>
    <w:rsid w:val="00A90A22"/>
    <w:rsid w:val="00A97734"/>
    <w:rsid w:val="00AA13DE"/>
    <w:rsid w:val="00AA7F40"/>
    <w:rsid w:val="00AB05B9"/>
    <w:rsid w:val="00AB41FC"/>
    <w:rsid w:val="00AB7D2F"/>
    <w:rsid w:val="00AD6F34"/>
    <w:rsid w:val="00AE0E95"/>
    <w:rsid w:val="00AF0AAB"/>
    <w:rsid w:val="00AF156F"/>
    <w:rsid w:val="00AF616B"/>
    <w:rsid w:val="00AF692A"/>
    <w:rsid w:val="00B030D6"/>
    <w:rsid w:val="00B0685B"/>
    <w:rsid w:val="00B1714A"/>
    <w:rsid w:val="00B22D22"/>
    <w:rsid w:val="00B23030"/>
    <w:rsid w:val="00B237B9"/>
    <w:rsid w:val="00B23CAA"/>
    <w:rsid w:val="00B25189"/>
    <w:rsid w:val="00B410EE"/>
    <w:rsid w:val="00B43963"/>
    <w:rsid w:val="00B5136A"/>
    <w:rsid w:val="00B53585"/>
    <w:rsid w:val="00B565AA"/>
    <w:rsid w:val="00B74177"/>
    <w:rsid w:val="00B75064"/>
    <w:rsid w:val="00B8202D"/>
    <w:rsid w:val="00B83AEA"/>
    <w:rsid w:val="00B86D9C"/>
    <w:rsid w:val="00B929FD"/>
    <w:rsid w:val="00B95B99"/>
    <w:rsid w:val="00B95F69"/>
    <w:rsid w:val="00B97F9D"/>
    <w:rsid w:val="00BA2885"/>
    <w:rsid w:val="00BA4598"/>
    <w:rsid w:val="00BB13A7"/>
    <w:rsid w:val="00BB19A9"/>
    <w:rsid w:val="00BB385E"/>
    <w:rsid w:val="00BC2015"/>
    <w:rsid w:val="00BC2584"/>
    <w:rsid w:val="00BC71B0"/>
    <w:rsid w:val="00BF4732"/>
    <w:rsid w:val="00BF597E"/>
    <w:rsid w:val="00C03098"/>
    <w:rsid w:val="00C03F44"/>
    <w:rsid w:val="00C14685"/>
    <w:rsid w:val="00C272E3"/>
    <w:rsid w:val="00C27CEF"/>
    <w:rsid w:val="00C31C73"/>
    <w:rsid w:val="00C326AE"/>
    <w:rsid w:val="00C41CB9"/>
    <w:rsid w:val="00C438C2"/>
    <w:rsid w:val="00C51A36"/>
    <w:rsid w:val="00C548BE"/>
    <w:rsid w:val="00C55228"/>
    <w:rsid w:val="00C6519A"/>
    <w:rsid w:val="00C67E19"/>
    <w:rsid w:val="00C67E47"/>
    <w:rsid w:val="00C71E85"/>
    <w:rsid w:val="00C722C7"/>
    <w:rsid w:val="00C86F9B"/>
    <w:rsid w:val="00C87FEE"/>
    <w:rsid w:val="00C920A9"/>
    <w:rsid w:val="00C92397"/>
    <w:rsid w:val="00CA659B"/>
    <w:rsid w:val="00CB260B"/>
    <w:rsid w:val="00CB66CD"/>
    <w:rsid w:val="00CC11A7"/>
    <w:rsid w:val="00CC4251"/>
    <w:rsid w:val="00CD7004"/>
    <w:rsid w:val="00CE2A9E"/>
    <w:rsid w:val="00CE315A"/>
    <w:rsid w:val="00CE5B47"/>
    <w:rsid w:val="00CE7BE1"/>
    <w:rsid w:val="00CF147A"/>
    <w:rsid w:val="00CF1726"/>
    <w:rsid w:val="00CF6C5C"/>
    <w:rsid w:val="00CF701E"/>
    <w:rsid w:val="00D04DDA"/>
    <w:rsid w:val="00D06F59"/>
    <w:rsid w:val="00D101CA"/>
    <w:rsid w:val="00D12FC9"/>
    <w:rsid w:val="00D16BBF"/>
    <w:rsid w:val="00D3392D"/>
    <w:rsid w:val="00D429D7"/>
    <w:rsid w:val="00D445C2"/>
    <w:rsid w:val="00D55E69"/>
    <w:rsid w:val="00D562F6"/>
    <w:rsid w:val="00D7570E"/>
    <w:rsid w:val="00D759D9"/>
    <w:rsid w:val="00D8388C"/>
    <w:rsid w:val="00D8660F"/>
    <w:rsid w:val="00D87853"/>
    <w:rsid w:val="00D96601"/>
    <w:rsid w:val="00DA0DF0"/>
    <w:rsid w:val="00DC78CE"/>
    <w:rsid w:val="00DD1C8E"/>
    <w:rsid w:val="00DE146D"/>
    <w:rsid w:val="00DE2197"/>
    <w:rsid w:val="00DE2D80"/>
    <w:rsid w:val="00DE6FCE"/>
    <w:rsid w:val="00DF76DB"/>
    <w:rsid w:val="00E038E4"/>
    <w:rsid w:val="00E07D63"/>
    <w:rsid w:val="00E13D9A"/>
    <w:rsid w:val="00E21BD9"/>
    <w:rsid w:val="00E30B89"/>
    <w:rsid w:val="00E32D13"/>
    <w:rsid w:val="00E43186"/>
    <w:rsid w:val="00E43822"/>
    <w:rsid w:val="00E44F69"/>
    <w:rsid w:val="00E45CE1"/>
    <w:rsid w:val="00E52ACD"/>
    <w:rsid w:val="00E54035"/>
    <w:rsid w:val="00E62996"/>
    <w:rsid w:val="00E63714"/>
    <w:rsid w:val="00E64A51"/>
    <w:rsid w:val="00E660EA"/>
    <w:rsid w:val="00E676F9"/>
    <w:rsid w:val="00E730E1"/>
    <w:rsid w:val="00E75612"/>
    <w:rsid w:val="00E910C0"/>
    <w:rsid w:val="00E941A0"/>
    <w:rsid w:val="00E96A78"/>
    <w:rsid w:val="00E97424"/>
    <w:rsid w:val="00E97A5D"/>
    <w:rsid w:val="00EA0B70"/>
    <w:rsid w:val="00EA55F7"/>
    <w:rsid w:val="00EB0164"/>
    <w:rsid w:val="00EB1030"/>
    <w:rsid w:val="00EB34EE"/>
    <w:rsid w:val="00EB5DF5"/>
    <w:rsid w:val="00EB656A"/>
    <w:rsid w:val="00EB65F7"/>
    <w:rsid w:val="00EC42F5"/>
    <w:rsid w:val="00ED0F62"/>
    <w:rsid w:val="00EE6AB8"/>
    <w:rsid w:val="00EF2867"/>
    <w:rsid w:val="00EF2EAF"/>
    <w:rsid w:val="00EF36E7"/>
    <w:rsid w:val="00EF3D9E"/>
    <w:rsid w:val="00F024A7"/>
    <w:rsid w:val="00F06D09"/>
    <w:rsid w:val="00F11201"/>
    <w:rsid w:val="00F14D99"/>
    <w:rsid w:val="00F27D9A"/>
    <w:rsid w:val="00F311D6"/>
    <w:rsid w:val="00F32CB9"/>
    <w:rsid w:val="00F33729"/>
    <w:rsid w:val="00F345A2"/>
    <w:rsid w:val="00F35CD7"/>
    <w:rsid w:val="00F432FD"/>
    <w:rsid w:val="00F46EA9"/>
    <w:rsid w:val="00F606E1"/>
    <w:rsid w:val="00F6739D"/>
    <w:rsid w:val="00F72ED6"/>
    <w:rsid w:val="00F755DE"/>
    <w:rsid w:val="00F80156"/>
    <w:rsid w:val="00F83639"/>
    <w:rsid w:val="00F840C3"/>
    <w:rsid w:val="00F856F5"/>
    <w:rsid w:val="00F925F2"/>
    <w:rsid w:val="00F956F5"/>
    <w:rsid w:val="00FA0833"/>
    <w:rsid w:val="00FA0E11"/>
    <w:rsid w:val="00FA1CD0"/>
    <w:rsid w:val="00FA31C1"/>
    <w:rsid w:val="00FA350D"/>
    <w:rsid w:val="00FA6FC6"/>
    <w:rsid w:val="00FB03C1"/>
    <w:rsid w:val="00FB03C3"/>
    <w:rsid w:val="00FB5A65"/>
    <w:rsid w:val="00FB5DFE"/>
    <w:rsid w:val="00FC5C16"/>
    <w:rsid w:val="00FD2869"/>
    <w:rsid w:val="00FD3120"/>
    <w:rsid w:val="00FD5EE5"/>
    <w:rsid w:val="00FD72A6"/>
    <w:rsid w:val="00FE09C9"/>
    <w:rsid w:val="00FF415B"/>
    <w:rsid w:val="00FF5C75"/>
    <w:rsid w:val="00FF7B0F"/>
    <w:rsid w:val="09ED6210"/>
    <w:rsid w:val="108219C2"/>
    <w:rsid w:val="231E1441"/>
    <w:rsid w:val="5EA12B9A"/>
    <w:rsid w:val="60E16D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0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1">
    <w:name w:val="fontstyle01"/>
    <w:qFormat/>
    <w:uiPriority w:val="99"/>
    <w:rPr>
      <w:rFonts w:ascii="宋体" w:hAnsi="宋体" w:eastAsia="宋体"/>
      <w:color w:val="000000"/>
      <w:sz w:val="24"/>
    </w:rPr>
  </w:style>
  <w:style w:type="character" w:customStyle="1" w:styleId="12">
    <w:name w:val="fontstyle21"/>
    <w:qFormat/>
    <w:uiPriority w:val="99"/>
    <w:rPr>
      <w:rFonts w:ascii="Times New Roman" w:hAnsi="Times New Roman"/>
      <w:color w:val="000000"/>
      <w:sz w:val="24"/>
    </w:r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565</Words>
  <Characters>3222</Characters>
  <Lines>26</Lines>
  <Paragraphs>7</Paragraphs>
  <TotalTime>4</TotalTime>
  <ScaleCrop>false</ScaleCrop>
  <LinksUpToDate>false</LinksUpToDate>
  <CharactersWithSpaces>3780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2019-05-18T05:12:00Z</dcterms:created>
  <dc:creator>微软用户</dc:creator>
  <cp:lastModifiedBy>Lenovo</cp:lastModifiedBy>
  <dcterms:modified xsi:type="dcterms:W3CDTF">2021-04-02T01:57:20Z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ADFBB2FFAA5E4F96A14A196DA696AEEB</vt:lpwstr>
  </property>
</Properties>
</file>