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1357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1357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受审核部门：行政部  主管领导：饶念</w:t>
            </w:r>
            <w:r>
              <w:rPr>
                <w:rFonts w:hint="eastAsia"/>
                <w:szCs w:val="22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高媛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357" w:type="dxa"/>
            <w:vAlign w:val="center"/>
          </w:tcPr>
          <w:p>
            <w:pPr>
              <w:spacing w:before="120"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王景玲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审核时间：202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4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357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审核条款：QMS: 5.3组织的岗位、职责和权限、6.2质量目标、7.1.2人员、7.1.6组织知识、7.2能力、7.3意识、7.5.1形成文件的信息总则、7.5.2形成文件的信息的创建和更新、7.5.3形成文件的信息的控制、8.4外部提供过程、产品和服务的控制（8.4.1总则、8.4.2控制类型和程度、8.4.3提供给外部供方的信息），9.1.1监视、测量、分析和评价总则、9.1.3分析与评价、9.2 内部审核、10.2不合格和纠正措施，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EMS: 5.3组织的岗位、职责和权限、7.2能力、7.3意识、7.5.1形成文件的信息总则、7.5.2形成文件的信息的创建和更新、7.5.3形成文件的信息的控制、9.2 内部审核、10.2不合格和纠正措施，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Q5.3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E5.3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1357" w:type="dxa"/>
            <w:tcBorders>
              <w:bottom w:val="single" w:color="auto" w:sz="4" w:space="0"/>
            </w:tcBorders>
          </w:tcPr>
          <w:p>
            <w:pPr>
              <w:spacing w:beforeLines="69"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法律法规收集及合规性评价，应急准备和相应控制，不符合纠正与预防，事故事件调查处理，负责供方管理、采购、宣传影响主要供应商及外包方等相关方的环境行为等。</w:t>
            </w:r>
          </w:p>
        </w:tc>
        <w:tc>
          <w:tcPr>
            <w:tcW w:w="834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Q6.2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E6.2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查行政部目标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：                                                    202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考核情况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招聘、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培训计划完成率达95%以上；                                       100%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供方评定合格率90</w:t>
            </w:r>
            <w:r>
              <w:rPr>
                <w:rFonts w:ascii="楷体" w:hAnsi="楷体" w:eastAsia="楷体" w:cs="宋体"/>
                <w:sz w:val="24"/>
                <w:szCs w:val="24"/>
              </w:rPr>
              <w:t>%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                                                    100%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固体废弃物分类处理100%；                                              100%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潜在火灾发生概率为0；                                                  0次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触电事故发生率为0：                                                    0次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抽查环境安全管理目标、指标及其管理方案，明确了措施、责任人、时间、资金投入要求。</w:t>
            </w:r>
          </w:p>
          <w:p>
            <w:pPr>
              <w:shd w:val="clear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固废分类处置的管理方案，方法、措施/技术手段：对人员进行培训并督导执行，根据固废的性质不同分类存放，利用小包装盒装硒鼓、墨盒、光盘、硬盘和计算机附属部件等，并在包装盒外标记，与硒鼓、墨盒与计算机维修单位建立长期合作关系；对于有进一步利用价值的固废，应回收利用；难以自行处置的固废，由专门的垃圾处理站回收处置；管理部门：行政部；资金投入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00元。检查人：管代，时间要求：20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年9月——202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年2月。</w:t>
            </w:r>
          </w:p>
          <w:p>
            <w:pPr>
              <w:shd w:val="clear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火灾/触电事故为零的管理方案，方法、措施/技术手段：制定火灾应急预案，进行应急演练、对人员进行培训火灾安全意识，用电过程需要采取好防护措施，每季度对电气线路进行专人检查，在各区域配备消防器材；管理部门：行政部，资金投入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00元，检查人：管代。时间要求：20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年9月——202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年2月。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编制：行政部，审核：饶念、批准：钟恢明，日期：</w:t>
            </w:r>
            <w:r>
              <w:rPr>
                <w:rFonts w:ascii="楷体" w:hAnsi="楷体" w:eastAsia="楷体" w:cs="宋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 w:cs="宋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楷体" w:hAnsi="楷体" w:eastAsia="楷体" w:cs="宋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组织知识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Q7.1.6</w:t>
            </w:r>
          </w:p>
        </w:tc>
        <w:tc>
          <w:tcPr>
            <w:tcW w:w="11357" w:type="dxa"/>
            <w:tcBorders>
              <w:top w:val="single" w:color="auto" w:sz="4" w:space="0"/>
            </w:tcBorders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企业确定运行过程所需要的知识，包括内部知识、外部知识。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834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人力资源、能力、意识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Q7.1.2、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Q7.2、7.3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E7.2、7.3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1357" w:type="dxa"/>
          </w:tcPr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编制执行《人力资源控制程序</w:t>
            </w:r>
            <w:r>
              <w:rPr>
                <w:rFonts w:ascii="楷体" w:hAnsi="楷体" w:eastAsia="楷体"/>
                <w:sz w:val="24"/>
                <w:szCs w:val="24"/>
              </w:rPr>
              <w:t>ZJHJ-CX03-2019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》，规定了人力资源配备、培训计划与实施，考核与认可等予以规定。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企业配置了适宜的人员：如管理人员、技术人员、销售人员、检验人员等；人员配置基本满足日常管理体系运行要求。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行政部对各岗位人员进行能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力考核，根据结果采取措施，通常是采取培训方式。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查到“年度培训计划”，编制: 行政部 批准: 饶念，日期:2020年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日。培训内容涉及：标准、体系文件、内审员、岗位技能、环境、安全管理目标及方案、相关法规等。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查到：《培训记录及培训效果评价表》，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.9.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日ISO9001：2015标准知识、概念培训，记录了培训内容摘要，通过现场提问答辩对培训效果予以考核评价，考核合格。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.9.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日管理手册、程序文件培训，记录了培训内容摘要，通过现场提问答辩对培训效果予以考核评价，考核合格。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15日管理体系内审员培训，培训人员饶念、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黄佳英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、周伟，记录了培训内容摘要，通过现场提问答辩对培训效果予以考核评价，考核合格。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4、</w:t>
            </w:r>
            <w:r>
              <w:rPr>
                <w:rFonts w:ascii="楷体" w:hAnsi="楷体" w:eastAsia="楷体" w:cs="Arial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 w:cs="Arial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1</w:t>
            </w:r>
            <w:r>
              <w:rPr>
                <w:rFonts w:ascii="楷体" w:hAnsi="楷体" w:eastAsia="楷体" w:cs="Arial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日环境、安全管理目标及方案培训，培训方式授课，有培训内容摘要，经现场口头问答的方式进行了考核，考核合格。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5、</w:t>
            </w:r>
            <w:r>
              <w:rPr>
                <w:rFonts w:ascii="楷体" w:hAnsi="楷体" w:eastAsia="楷体" w:cs="Arial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楷体" w:hAnsi="楷体" w:eastAsia="楷体" w:cs="Arial"/>
                <w:sz w:val="24"/>
                <w:szCs w:val="24"/>
              </w:rPr>
              <w:t>.1.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日业务员在外安全事项的培训，培训方式授课，有培训内容摘要，经现场口头问答的方式进行了考核，考核合格。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通过培训、面谈等沟通方式，提高了员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查无特种作业人员。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提供技术人员饶念研究生毕业证，专业环境工程。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提供技术人员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黄佳英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研究生毕业证，专业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化学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工程。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drawing>
                <wp:inline distT="0" distB="0" distL="0" distR="0">
                  <wp:extent cx="2604135" cy="1723390"/>
                  <wp:effectExtent l="0" t="0" r="5715" b="1016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35" cy="172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479040" cy="3374390"/>
                  <wp:effectExtent l="0" t="0" r="16510" b="16510"/>
                  <wp:docPr id="4" name="图片 4" descr="教育部学历证书电子注册备案表_黄佳英(1)_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教育部学历证书电子注册备案表_黄佳英(1)_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6021" t="3097" r="5745" b="12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040" cy="337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企业已对人力资源的管理、控制进行了策划，并已实施控制。</w:t>
            </w:r>
          </w:p>
        </w:tc>
        <w:tc>
          <w:tcPr>
            <w:tcW w:w="8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形成文件的信息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Q7.5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E7.5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1357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编制了《文件控制程序</w:t>
            </w:r>
            <w:r>
              <w:rPr>
                <w:rFonts w:ascii="楷体" w:hAnsi="楷体" w:eastAsia="楷体" w:cs="宋体"/>
                <w:sz w:val="24"/>
                <w:szCs w:val="24"/>
              </w:rPr>
              <w:t>ZJHJ-CX05-2019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组织策划的体系文件主要包括：《管理手册》，版本：A/0；《质量、环境、职业健康安全管理体系程序文件》版本：A/0，有管理制度、操作规程，以及相关运行记录等。以上文件编制人：行政部，审核人：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饶念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，批准人：钟恢明，发布实施日期2019年9月1日。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公司质量、环境、职业健康安全方针随手册一同发布，并编制目标、指标与管理方案一览表，方针目标发布经过总经理批准、评审，适宜。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公司体系文件运行良好，能够满足经营需要。公司文件经过验证手册和程序文件基本符合ISO9001：2015、ISO14001:2015、ISO45001:2018标准要求。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查文件发放情况：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提供了《</w:t>
            </w:r>
            <w:r>
              <w:rPr>
                <w:rFonts w:ascii="楷体" w:hAnsi="楷体" w:eastAsia="楷体" w:cs="宋体"/>
                <w:sz w:val="24"/>
                <w:szCs w:val="24"/>
              </w:rPr>
              <w:t>文件发放、回收登记表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》，所有文件均由行政部发放，录有管理手册、程序、作业文件及标准、法律法规等外来文件。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查外来文件管理：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对外来文件及法律法规进行了收集、识别、分发、控制。外来文件采用了统一保管、借阅使用的方法进行控制。由行政部负责通过到主管部门、网上收集、标准发布部门进行购买，并对外来文件的识别、跟踪、控制。查到：《外来文件清单》、《环境法律法规及其他要求清单》、《职业健康安全法律法规及其他要求清单》，有：《中华人民共和国环境保护法》、《中华人民共和国安全生产法》、《环境影响评价技术导则 总纲》、《环境影响评价技术导则 大气环境》等法律法规和执行标准，外来文件管理符合要求。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查作废文件控制：根据文审要求修订了管理手册，替换了修改页，原页面销毁。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现场查看组织行政部文件管理情况，通过纸张、电子版形式文件化，文件名称、编号、内容等字迹清晰，标识易于识别、检索、可追溯，纸质文件存放在文件柜中，防水防潮，储存环境适宜。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查到了“记录一览表”，记录设置符合公司实施运行要求，基本包含了体系要求的相关记录；《记录一览表》，内容清晰，规定了记录的名称、编号、保存期限等信息。 记录以名称、编号进行唯一性标识。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查阅了记录：《合规性评价报告》、《应急演练记录》、《顾客满意度统计分析报告》、《环境、安全检查记录》等体系运行记录，记录比较完整，内容规范全面，字迹清楚，有填表人、检查人等信息，易于检索，符合要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　 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　　经了解，目前作废文件已销毁，由行政部统一处理。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8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  <w:t>Q9.1.1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、Q9.1.3</w:t>
            </w:r>
          </w:p>
        </w:tc>
        <w:tc>
          <w:tcPr>
            <w:tcW w:w="11357" w:type="dxa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公司规定了管理体系相关信息的收集、汇总、分析、处理、传递的要求。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公司的过程和体系的监视和测量主要是通过内审、管理评审、目标考核以及日常工作监督、外包供方评审、顾客满意度测量等的方式完成。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公司已建立了监视和测量的渠道并实施，但利用深度须加强，已交流。</w:t>
            </w:r>
          </w:p>
        </w:tc>
        <w:tc>
          <w:tcPr>
            <w:tcW w:w="8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Q9.2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E9.2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1357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由组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长饶念组织内部审核，查年度审核计划：提供《内部审核计划》，其内容已包括了审核目的、范围、依据。</w:t>
            </w:r>
          </w:p>
          <w:p>
            <w:pPr>
              <w:spacing w:line="360" w:lineRule="auto"/>
              <w:ind w:left="456" w:hanging="456" w:hangingChars="19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审核组构成：审核组长：饶念(A）、审核组成员：周伟(B)、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黄佳英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（C）；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 审核时间20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日，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2.审核按计划进行，抽查检查表行政部、市场部、咨询部、管理层审核记录与计划相一致，内审员经内部培训合格，能力还需加强；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审核计划已考虑到互查的公正性，无审核员审核本部门的工作，计划内容涉及各部门，条款覆盖整个体系。本次内审发现1个一般不符合项（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未提供今年的环境安全日常检查记录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），针对不合格，责任部门已分析了原因并采取了纠正措施，按要求进行了整改，最后内审员进行了验证，纠正措施实施有效。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内部审核结论：提供了《内部审核报告》，对现场审核进行了综述，对质量环境安全管理体系进行了符合性的综合评价，最后结论为：本公司管理体系是符合ISO9001:2015</w:t>
            </w:r>
            <w:r>
              <w:rPr>
                <w:rFonts w:ascii="楷体" w:hAnsi="楷体" w:eastAsia="楷体"/>
                <w:sz w:val="24"/>
                <w:szCs w:val="24"/>
              </w:rPr>
              <w:t>《质量管理体系 要求》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、ISO45001:2018《职业健康安全管理体系——要求》和ISO14001:2015</w:t>
            </w:r>
            <w:r>
              <w:rPr>
                <w:rFonts w:ascii="楷体" w:hAnsi="楷体" w:eastAsia="楷体"/>
                <w:sz w:val="24"/>
                <w:szCs w:val="24"/>
              </w:rPr>
              <w:t>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环境</w:t>
            </w:r>
            <w:r>
              <w:rPr>
                <w:rFonts w:ascii="楷体" w:hAnsi="楷体" w:eastAsia="楷体"/>
                <w:sz w:val="24"/>
                <w:szCs w:val="24"/>
              </w:rPr>
              <w:t>管理体系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——要求</w:t>
            </w:r>
            <w:r>
              <w:rPr>
                <w:rFonts w:ascii="楷体" w:hAnsi="楷体" w:eastAsia="楷体"/>
                <w:sz w:val="24"/>
                <w:szCs w:val="24"/>
              </w:rPr>
              <w:t>及使用指南》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三</w:t>
            </w:r>
            <w:r>
              <w:rPr>
                <w:rFonts w:ascii="楷体" w:hAnsi="楷体" w:eastAsia="楷体"/>
                <w:sz w:val="24"/>
                <w:szCs w:val="24"/>
              </w:rPr>
              <w:t>个标准要求的，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也是符合相关法律、法规要求的。在管理体系运行的过程中，本公司认为是较适宜的、充分的，其运行是有较的。本公司的管理方针得到了广泛的宣传和贯彻，并成为广大员工的自觉行为，各职能部门能按公司管理体系文件的要求执行，但某些部门或车间在执行管理体系文件的过程中仍存在着问题，还有待于持续改进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268345" cy="2637155"/>
                  <wp:effectExtent l="0" t="0" r="8255" b="10795"/>
                  <wp:docPr id="5" name="图片 5" descr="b2bcb6b35fac438eb8304f0b0249a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2bcb6b35fac438eb8304f0b0249ad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5657" r="4472" b="467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345" cy="263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060065" cy="2680335"/>
                  <wp:effectExtent l="0" t="0" r="6985" b="5715"/>
                  <wp:docPr id="6" name="图片 6" descr="cd4b010b56c7501c0f34967e33d2b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d4b010b56c7501c0f34967e33d2be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r="7911" b="516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65" cy="268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</w:tc>
        <w:tc>
          <w:tcPr>
            <w:tcW w:w="8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Q10.2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E10.2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1357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保持实施《不符合、纠正和预防措施控制程序</w:t>
            </w:r>
            <w:r>
              <w:rPr>
                <w:rFonts w:ascii="楷体" w:hAnsi="楷体" w:eastAsia="楷体" w:cs="宋体"/>
                <w:sz w:val="24"/>
                <w:szCs w:val="24"/>
              </w:rPr>
              <w:t>ZJHJ-CX13-2019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》、《事故调查处理控制程序</w:t>
            </w:r>
            <w:r>
              <w:rPr>
                <w:rFonts w:ascii="楷体" w:hAnsi="楷体" w:eastAsia="楷体" w:cs="宋体"/>
                <w:sz w:val="24"/>
                <w:szCs w:val="24"/>
              </w:rPr>
              <w:t>ZJHJ-CX14-2019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》，对纠正预防措施识别、评审、验证，事故事件报告、调查、处理等作了规定，其内容符合组织实际及标准要求。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企业不合格和纠正措施的管理符合标准规定要求。</w:t>
            </w:r>
          </w:p>
        </w:tc>
        <w:tc>
          <w:tcPr>
            <w:tcW w:w="8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外部提供过程、产品和服务的控制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Q8.4</w:t>
            </w:r>
          </w:p>
        </w:tc>
        <w:tc>
          <w:tcPr>
            <w:tcW w:w="11357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现场查见《</w:t>
            </w:r>
            <w:r>
              <w:rPr>
                <w:rFonts w:ascii="楷体" w:hAnsi="楷体" w:eastAsia="楷体"/>
                <w:sz w:val="24"/>
                <w:szCs w:val="24"/>
              </w:rPr>
              <w:t>JXRT-CX25-2019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采购控制程序》，规定了采购物资分类、供方评价与管理状况、采购信息、采购产品验证等内容。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提供了《合格供方名录》，主要供方为环境检测外包供方</w:t>
            </w:r>
          </w:p>
          <w:tbl>
            <w:tblPr>
              <w:tblStyle w:val="10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28"/>
              <w:gridCol w:w="1777"/>
              <w:gridCol w:w="350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6" w:hRule="atLeast"/>
              </w:trPr>
              <w:tc>
                <w:tcPr>
                  <w:tcW w:w="44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630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 xml:space="preserve">  供方名称</w:t>
                  </w:r>
                </w:p>
              </w:tc>
              <w:tc>
                <w:tcPr>
                  <w:tcW w:w="17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供方产品</w:t>
                  </w:r>
                </w:p>
              </w:tc>
              <w:tc>
                <w:tcPr>
                  <w:tcW w:w="35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210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地址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2" w:hRule="atLeast"/>
              </w:trPr>
              <w:tc>
                <w:tcPr>
                  <w:tcW w:w="44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江西省梦保美环境检测技术有限公司</w:t>
                  </w:r>
                </w:p>
              </w:tc>
              <w:tc>
                <w:tcPr>
                  <w:tcW w:w="17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环境检测</w:t>
                  </w:r>
                </w:p>
              </w:tc>
              <w:tc>
                <w:tcPr>
                  <w:tcW w:w="35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江西省南昌市高新技术产业开发区天祥大道2799号南昌佳海产业园139栋</w:t>
                  </w:r>
                </w:p>
              </w:tc>
            </w:tr>
          </w:tbl>
          <w:p>
            <w:pPr>
              <w:shd w:val="clear"/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见《供方调查评价表》，有供方名称、评价项目及得分、评价结果等内容，评价项目主要有生产设备、生产场地、技术能力、通信条件、长期可靠、信誉等，对以上供方进行了调查评价，评价结果合格。评价人周增全、饶念，批准钟恢明，日期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12月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hd w:val="clear"/>
              <w:spacing w:line="360" w:lineRule="auto"/>
              <w:ind w:firstLine="352" w:firstLineChars="147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企业在对供方进行选择和评价时，收集了企业的相关资质材料等，并保持更新，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>
            <w:pPr>
              <w:shd w:val="clear"/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负责人介绍，根据需要外包进行环境检测时，由需求部门提报申请，经批准后由行政部组织实施外包。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在实施外包前公司与供方进行沟通后编制采购文件，注明日期，地点，协议事项等。形成环境质量现状检测项目合同。</w:t>
            </w:r>
          </w:p>
          <w:p>
            <w:pPr>
              <w:shd w:val="clear"/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查见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环境质量现状检测项目合同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，外包供方江西省梦保美环境检测技术有限公司。</w:t>
            </w:r>
          </w:p>
          <w:p>
            <w:pPr>
              <w:shd w:val="clear"/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于都万年青水泥窑协同处置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项目；委托内容：代为办理“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于都万年青水泥窑协同处置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项目监测项目”监测（具体监测方案附后）并出具相应的监测报告；时间要求：协商到现场进行采样监测，监测后15个工作日出检测报告。另外有结算、付款、质量要求、争议解决等要求，双方签字盖章。</w:t>
            </w:r>
          </w:p>
          <w:p>
            <w:pPr>
              <w:shd w:val="clear"/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查见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环境质量现状检测项目合同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，外包供方江西省梦保美环境检测技术有限公司。</w:t>
            </w:r>
          </w:p>
          <w:p>
            <w:pPr>
              <w:shd w:val="clear"/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瀚蓝工业服务（赣州）有限公司信丰工业固体废物处置中心技改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项目；委托内容：代为办理“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瀚蓝工业服务（赣州）有限公司信丰工业固体废物处置中心技改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监测项目”监测（具体监测方案附后）并出具相应的监测报告；时间要求：协商到现场进行采样监测，监测后15个工作日出检测报告。另外有结算、付款、质量要求、争议解决等要求，双方签字盖章。</w:t>
            </w:r>
          </w:p>
          <w:p>
            <w:pPr>
              <w:shd w:val="clear"/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查见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环境质量现状检测项目合同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，外包供方江西省梦保美环境检测技术有限公司。</w:t>
            </w:r>
          </w:p>
          <w:p>
            <w:pPr>
              <w:shd w:val="clear"/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新干绿色工业服务示范中心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项目；委托内容：代为办理“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新干绿色工业服务示范中心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项目环境质量现状监测项目”监测（具体监测方案附后）并出具相应的监测报告；时间要求：协商到现场进行采样监测，监测后15个工作日出检测报告。另外有结算、付款、质量要求、争议解决等要求，双方签字盖章。</w:t>
            </w:r>
          </w:p>
          <w:p>
            <w:pPr>
              <w:shd w:val="clear"/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提供给外部供方的信息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表述清晰、充分。</w:t>
            </w:r>
          </w:p>
          <w:p>
            <w:pPr>
              <w:shd w:val="clear"/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外包采购产品验证通常采取查验产品内容是否符合要求的方式，具体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详见咨询部审核记录。</w:t>
            </w:r>
          </w:p>
        </w:tc>
        <w:tc>
          <w:tcPr>
            <w:tcW w:w="8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7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EE6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16D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E50"/>
    <w:rsid w:val="0011531E"/>
    <w:rsid w:val="0012058E"/>
    <w:rsid w:val="00123A35"/>
    <w:rsid w:val="00126D95"/>
    <w:rsid w:val="00132572"/>
    <w:rsid w:val="00135F92"/>
    <w:rsid w:val="00140DDF"/>
    <w:rsid w:val="00145688"/>
    <w:rsid w:val="001456CB"/>
    <w:rsid w:val="00147EDB"/>
    <w:rsid w:val="00162951"/>
    <w:rsid w:val="001677C1"/>
    <w:rsid w:val="00170B6A"/>
    <w:rsid w:val="00174C08"/>
    <w:rsid w:val="00176B5D"/>
    <w:rsid w:val="001825AD"/>
    <w:rsid w:val="00185DBE"/>
    <w:rsid w:val="00187C5A"/>
    <w:rsid w:val="00191047"/>
    <w:rsid w:val="001918ED"/>
    <w:rsid w:val="00192A7F"/>
    <w:rsid w:val="001941D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5047"/>
    <w:rsid w:val="0024737A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BC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413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0927"/>
    <w:rsid w:val="00382EDD"/>
    <w:rsid w:val="003836CA"/>
    <w:rsid w:val="0038489E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DB8"/>
    <w:rsid w:val="003B63F4"/>
    <w:rsid w:val="003B686D"/>
    <w:rsid w:val="003B6EB8"/>
    <w:rsid w:val="003C4A58"/>
    <w:rsid w:val="003C7699"/>
    <w:rsid w:val="003D1723"/>
    <w:rsid w:val="003D470D"/>
    <w:rsid w:val="003D6B8A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444E4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C07FE"/>
    <w:rsid w:val="004C3A73"/>
    <w:rsid w:val="004C5731"/>
    <w:rsid w:val="004C5BFE"/>
    <w:rsid w:val="004C5C5A"/>
    <w:rsid w:val="004C78A9"/>
    <w:rsid w:val="004D1CA2"/>
    <w:rsid w:val="004D3E4C"/>
    <w:rsid w:val="004D55E7"/>
    <w:rsid w:val="004D62EF"/>
    <w:rsid w:val="004D7A97"/>
    <w:rsid w:val="004E5609"/>
    <w:rsid w:val="004E61BC"/>
    <w:rsid w:val="004F185D"/>
    <w:rsid w:val="00500565"/>
    <w:rsid w:val="00502C53"/>
    <w:rsid w:val="005052B3"/>
    <w:rsid w:val="005056ED"/>
    <w:rsid w:val="00505819"/>
    <w:rsid w:val="005064D2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D29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658D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27F9"/>
    <w:rsid w:val="0067640C"/>
    <w:rsid w:val="00681DFF"/>
    <w:rsid w:val="006836D9"/>
    <w:rsid w:val="00683914"/>
    <w:rsid w:val="006849AB"/>
    <w:rsid w:val="00684FCD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0C57"/>
    <w:rsid w:val="007E6AEB"/>
    <w:rsid w:val="007E7C11"/>
    <w:rsid w:val="007F01EC"/>
    <w:rsid w:val="007F0EA0"/>
    <w:rsid w:val="007F1DD4"/>
    <w:rsid w:val="007F3AD5"/>
    <w:rsid w:val="007F47AA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149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FBF"/>
    <w:rsid w:val="008A7C7E"/>
    <w:rsid w:val="008B028C"/>
    <w:rsid w:val="008B21BA"/>
    <w:rsid w:val="008B4EE2"/>
    <w:rsid w:val="008B5576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1300A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519"/>
    <w:rsid w:val="00963A6C"/>
    <w:rsid w:val="00965A0E"/>
    <w:rsid w:val="0096609F"/>
    <w:rsid w:val="00971600"/>
    <w:rsid w:val="00984342"/>
    <w:rsid w:val="009853EA"/>
    <w:rsid w:val="00993632"/>
    <w:rsid w:val="00996B0D"/>
    <w:rsid w:val="009973B4"/>
    <w:rsid w:val="009978AC"/>
    <w:rsid w:val="009A1279"/>
    <w:rsid w:val="009A3FB8"/>
    <w:rsid w:val="009A4B5C"/>
    <w:rsid w:val="009A6F79"/>
    <w:rsid w:val="009B16F4"/>
    <w:rsid w:val="009B4D68"/>
    <w:rsid w:val="009B6785"/>
    <w:rsid w:val="009B6AB3"/>
    <w:rsid w:val="009B7D75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3BB2"/>
    <w:rsid w:val="00A37328"/>
    <w:rsid w:val="00A378F6"/>
    <w:rsid w:val="00A41F32"/>
    <w:rsid w:val="00A50B4B"/>
    <w:rsid w:val="00A51349"/>
    <w:rsid w:val="00A57E86"/>
    <w:rsid w:val="00A61ED7"/>
    <w:rsid w:val="00A64722"/>
    <w:rsid w:val="00A743CD"/>
    <w:rsid w:val="00A801DE"/>
    <w:rsid w:val="00A80C1F"/>
    <w:rsid w:val="00A81FD7"/>
    <w:rsid w:val="00A86BDD"/>
    <w:rsid w:val="00A90A22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473D8"/>
    <w:rsid w:val="00B526B1"/>
    <w:rsid w:val="00B52E51"/>
    <w:rsid w:val="00B546C0"/>
    <w:rsid w:val="00B565BF"/>
    <w:rsid w:val="00B6762E"/>
    <w:rsid w:val="00B71EA0"/>
    <w:rsid w:val="00B73843"/>
    <w:rsid w:val="00B73B0E"/>
    <w:rsid w:val="00B73EA8"/>
    <w:rsid w:val="00B802EC"/>
    <w:rsid w:val="00B8202D"/>
    <w:rsid w:val="00B82639"/>
    <w:rsid w:val="00B91271"/>
    <w:rsid w:val="00B91605"/>
    <w:rsid w:val="00B929FD"/>
    <w:rsid w:val="00B95B99"/>
    <w:rsid w:val="00B95F69"/>
    <w:rsid w:val="00B960F3"/>
    <w:rsid w:val="00B9706D"/>
    <w:rsid w:val="00BA5B19"/>
    <w:rsid w:val="00BB0434"/>
    <w:rsid w:val="00BB0744"/>
    <w:rsid w:val="00BC0122"/>
    <w:rsid w:val="00BC2015"/>
    <w:rsid w:val="00BC71B0"/>
    <w:rsid w:val="00BD3E2B"/>
    <w:rsid w:val="00BD4E08"/>
    <w:rsid w:val="00BD6DBC"/>
    <w:rsid w:val="00BE00E9"/>
    <w:rsid w:val="00BE512D"/>
    <w:rsid w:val="00BE5169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5BF3"/>
    <w:rsid w:val="00C76A3E"/>
    <w:rsid w:val="00C773BA"/>
    <w:rsid w:val="00C776A5"/>
    <w:rsid w:val="00C80205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2EAC"/>
    <w:rsid w:val="00CC3BF9"/>
    <w:rsid w:val="00CC4D84"/>
    <w:rsid w:val="00CD0800"/>
    <w:rsid w:val="00CD394A"/>
    <w:rsid w:val="00CD6105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CF6E3B"/>
    <w:rsid w:val="00D004F0"/>
    <w:rsid w:val="00D0368C"/>
    <w:rsid w:val="00D04E45"/>
    <w:rsid w:val="00D06F59"/>
    <w:rsid w:val="00D071AB"/>
    <w:rsid w:val="00D13453"/>
    <w:rsid w:val="00D27966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5E86"/>
    <w:rsid w:val="00E676F9"/>
    <w:rsid w:val="00E7279B"/>
    <w:rsid w:val="00E74608"/>
    <w:rsid w:val="00E84C02"/>
    <w:rsid w:val="00E90BBC"/>
    <w:rsid w:val="00E910C0"/>
    <w:rsid w:val="00E95114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4226"/>
    <w:rsid w:val="00ED5BCB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101E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7087"/>
    <w:rsid w:val="00FA0833"/>
    <w:rsid w:val="00FA2467"/>
    <w:rsid w:val="00FA25E4"/>
    <w:rsid w:val="00FA2988"/>
    <w:rsid w:val="00FA350D"/>
    <w:rsid w:val="00FB03C3"/>
    <w:rsid w:val="00FB5A65"/>
    <w:rsid w:val="00FB6C45"/>
    <w:rsid w:val="00FC01AB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1D329B5"/>
    <w:rsid w:val="021B5194"/>
    <w:rsid w:val="04251AC0"/>
    <w:rsid w:val="09E17850"/>
    <w:rsid w:val="0D3F1A0B"/>
    <w:rsid w:val="108219C2"/>
    <w:rsid w:val="1368118F"/>
    <w:rsid w:val="178D4F78"/>
    <w:rsid w:val="24E007EF"/>
    <w:rsid w:val="25473587"/>
    <w:rsid w:val="276C20C0"/>
    <w:rsid w:val="2A27444E"/>
    <w:rsid w:val="2AFB5866"/>
    <w:rsid w:val="2C794112"/>
    <w:rsid w:val="2D8C2473"/>
    <w:rsid w:val="30394ECB"/>
    <w:rsid w:val="30DC4790"/>
    <w:rsid w:val="36C42DDB"/>
    <w:rsid w:val="385540C8"/>
    <w:rsid w:val="396924FE"/>
    <w:rsid w:val="40B81365"/>
    <w:rsid w:val="4DBC6E95"/>
    <w:rsid w:val="4DD22C0E"/>
    <w:rsid w:val="4F5E70FB"/>
    <w:rsid w:val="5B0A2B23"/>
    <w:rsid w:val="5D4733F2"/>
    <w:rsid w:val="5EA12B9A"/>
    <w:rsid w:val="64063C5A"/>
    <w:rsid w:val="65676CCE"/>
    <w:rsid w:val="727B15A4"/>
    <w:rsid w:val="73533183"/>
    <w:rsid w:val="75054C7E"/>
    <w:rsid w:val="760B57E6"/>
    <w:rsid w:val="78360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link w:val="20"/>
    <w:unhideWhenUsed/>
    <w:qFormat/>
    <w:uiPriority w:val="99"/>
    <w:pPr>
      <w:spacing w:line="420" w:lineRule="exact"/>
    </w:pPr>
    <w:rPr>
      <w:sz w:val="24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fontstyle01"/>
    <w:basedOn w:val="12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8">
    <w:name w:val="fontstyle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9">
    <w:name w:val="标题 2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正文文本 Char"/>
    <w:basedOn w:val="12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3">
    <w:name w:val="标题 Char"/>
    <w:basedOn w:val="12"/>
    <w:link w:val="9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DB1A64-6F5C-461C-82F3-08E0A0BC2C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894</Words>
  <Characters>5100</Characters>
  <Lines>42</Lines>
  <Paragraphs>11</Paragraphs>
  <TotalTime>27</TotalTime>
  <ScaleCrop>false</ScaleCrop>
  <LinksUpToDate>false</LinksUpToDate>
  <CharactersWithSpaces>5983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2021-04-02T02:22:58Z</dcterms:modified>
  <cp:revision>991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C0F9AEAAC0664E71A541B7EDA721048A</vt:lpwstr>
  </property>
</Properties>
</file>