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受审核部门：行政部  主管领导：饶念</w:t>
            </w:r>
            <w:r>
              <w:rPr>
                <w:rFonts w:hint="eastAsia"/>
                <w:szCs w:val="22"/>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黄佳英</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eastAsia" w:ascii="楷体" w:hAnsi="楷体" w:eastAsia="楷体"/>
                <w:sz w:val="24"/>
                <w:szCs w:val="24"/>
                <w:lang w:eastAsia="zh-CN"/>
              </w:rPr>
            </w:pPr>
            <w:r>
              <w:rPr>
                <w:rFonts w:hint="eastAsia" w:ascii="楷体" w:hAnsi="楷体" w:eastAsia="楷体"/>
                <w:sz w:val="24"/>
                <w:szCs w:val="24"/>
              </w:rPr>
              <w:t>审核员：伍光华  审核时间：202</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4</w:t>
            </w:r>
            <w:r>
              <w:rPr>
                <w:rFonts w:hint="eastAsia" w:ascii="楷体" w:hAnsi="楷体" w:eastAsia="楷体"/>
                <w:sz w:val="24"/>
                <w:szCs w:val="24"/>
              </w:rPr>
              <w:t>.</w:t>
            </w:r>
            <w:r>
              <w:rPr>
                <w:rFonts w:hint="eastAsia" w:ascii="楷体" w:hAnsi="楷体" w:eastAsia="楷体"/>
                <w:sz w:val="24"/>
                <w:szCs w:val="24"/>
                <w:lang w:val="en-US" w:eastAsia="zh-CN"/>
              </w:rPr>
              <w:t>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ind w:right="105" w:rightChars="50"/>
              <w:textAlignment w:val="baseline"/>
              <w:rPr>
                <w:rFonts w:ascii="楷体" w:hAnsi="楷体" w:eastAsia="楷体" w:cs="宋体"/>
                <w:szCs w:val="21"/>
              </w:rPr>
            </w:pPr>
            <w:r>
              <w:rPr>
                <w:rFonts w:hint="eastAsia" w:ascii="楷体" w:hAnsi="楷体" w:eastAsia="楷体" w:cs="宋体"/>
                <w:szCs w:val="21"/>
              </w:rPr>
              <w:t>审核条款：</w:t>
            </w:r>
            <w:r>
              <w:rPr>
                <w:rFonts w:ascii="楷体" w:hAnsi="楷体" w:eastAsia="楷体" w:cs="宋体"/>
                <w:szCs w:val="21"/>
              </w:rPr>
              <w:t xml:space="preserve"> </w:t>
            </w:r>
          </w:p>
          <w:p>
            <w:pPr>
              <w:adjustRightInd w:val="0"/>
              <w:snapToGrid w:val="0"/>
              <w:ind w:right="105" w:rightChars="50"/>
              <w:textAlignment w:val="baseline"/>
              <w:rPr>
                <w:rFonts w:ascii="楷体" w:hAnsi="楷体" w:eastAsia="楷体" w:cs="宋体"/>
                <w:szCs w:val="21"/>
              </w:rPr>
            </w:pPr>
            <w:r>
              <w:rPr>
                <w:rFonts w:hint="eastAsia" w:ascii="楷体" w:hAnsi="楷体" w:eastAsia="楷体" w:cs="宋体"/>
                <w:szCs w:val="21"/>
              </w:rPr>
              <w:t>EMS:6.1.2环境因素6.2环境目标(6.2.1环境目标、6.2.2实现环境目标措施的策划)、6.1.3合规义务、6.1.4措施的策划、9.1监视、测量、分析和评价（9.1.1总则、9.1.2合规性评价）、8.2应急准备和响应8.1运行策划和控制、8.2应急准备和响应，</w:t>
            </w:r>
          </w:p>
          <w:p>
            <w:pPr>
              <w:rPr>
                <w:rFonts w:ascii="楷体" w:hAnsi="楷体" w:eastAsia="楷体"/>
                <w:sz w:val="24"/>
                <w:szCs w:val="24"/>
              </w:rPr>
            </w:pP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r>
              <w:rPr>
                <w:rFonts w:hint="eastAsia" w:ascii="楷体" w:hAnsi="楷体" w:eastAsia="楷体" w:cs="楷体"/>
                <w:sz w:val="24"/>
                <w:szCs w:val="24"/>
              </w:rPr>
              <w:t>危险源</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E6.1.2</w:t>
            </w: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cs="楷体"/>
                <w:bCs/>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w:t>
            </w:r>
            <w:r>
              <w:rPr>
                <w:rFonts w:hint="eastAsia" w:ascii="楷体" w:hAnsi="楷体" w:eastAsia="楷体" w:cs="楷体"/>
                <w:bCs/>
                <w:sz w:val="24"/>
                <w:szCs w:val="24"/>
              </w:rPr>
              <w:t>控制程序（</w:t>
            </w:r>
            <w:r>
              <w:rPr>
                <w:rFonts w:ascii="楷体" w:hAnsi="楷体" w:eastAsia="楷体" w:cs="楷体"/>
                <w:bCs/>
                <w:sz w:val="24"/>
                <w:szCs w:val="24"/>
              </w:rPr>
              <w:t>ZJHJ-CX02-2019</w:t>
            </w:r>
            <w:r>
              <w:rPr>
                <w:rFonts w:hint="eastAsia" w:ascii="楷体" w:hAnsi="楷体" w:eastAsia="楷体" w:cs="楷体"/>
                <w:bCs/>
                <w:sz w:val="24"/>
                <w:szCs w:val="24"/>
              </w:rPr>
              <w:t>），对环境因素、危险源的识别、评价结果、控制手段等做出了规定。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rPr>
              <w:t>行政部作为环境和职业健康安全管理体系的推进</w:t>
            </w:r>
            <w:r>
              <w:rPr>
                <w:rFonts w:hint="eastAsia" w:ascii="楷体" w:hAnsi="楷体" w:eastAsia="楷体" w:cs="楷体"/>
                <w:sz w:val="24"/>
                <w:szCs w:val="24"/>
              </w:rPr>
              <w:t>部门，主要统筹负责识别评价相关的环境因素及危险源。根据办公区生产咨询过程环节识别，由行政部汇总。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采取多因子评价法进行了评价，查到“重要环境因素清单”，评价出潜在火灾、固废排放2项重要环境因素。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经评价行政部的重要环境因素为：日常办公过程中固废排放、潜在火灾的发生。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主要控制措施：办公危废交耗材供应公司，生活垃圾由物业部门拉走，加强日常培训，日常检查，配备消防器材等措施。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查“职业安全健康管理体系危险源辨识、风险评价、风险控制一览表”，识别了办公、生产、销售过程、生活区的危险源。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涉及行政部的危险源有复印机电磁波危害，插座质量差漏电造成的触电，烟头未及时熄灭或直接扔到纸篓中造成火灾，接线板负荷过重造成的火灾等。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对识别出的危险源采取D=LEC进行评价，查到“重大危险源清单”，评价出重大危险源2个，包括：火灾、触电等。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经评价行政部的重大危险源：触电事故、火灾事故的发生。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主要控制措施：危险源控制执行管理方案、配备消防器材、日常检查、日常培训教育等运行控制措施等。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具体控制措施见ES8.1审核记录。</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E6.1.3</w:t>
            </w:r>
          </w:p>
          <w:p>
            <w:pPr>
              <w:spacing w:line="360" w:lineRule="auto"/>
              <w:rPr>
                <w:rFonts w:ascii="楷体" w:hAnsi="楷体" w:eastAsia="楷体"/>
                <w:sz w:val="24"/>
                <w:szCs w:val="24"/>
              </w:rPr>
            </w:pP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编制了《环境和职业健康安全法律法规控制程序</w:t>
            </w:r>
            <w:r>
              <w:rPr>
                <w:rFonts w:ascii="楷体" w:hAnsi="楷体" w:eastAsia="楷体" w:cs="宋体"/>
                <w:sz w:val="24"/>
                <w:szCs w:val="24"/>
              </w:rPr>
              <w:t>ZJHJ-CX02-2019</w:t>
            </w:r>
            <w:r>
              <w:rPr>
                <w:rFonts w:hint="eastAsia" w:ascii="楷体" w:hAnsi="楷体" w:eastAsia="楷体" w:cs="宋体"/>
                <w:sz w:val="24"/>
                <w:szCs w:val="24"/>
              </w:rPr>
              <w:t>》，对法律法规的识别更新和应用进行规定，行政部为主控部门。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江西省环境污染防治条例》、《江西省安全生产条例》、《工伤保险条例》《中华人民共和国劳动合同法》《中华人民共和国突发事件应对法》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已识别法律法规及其它要求的适用条款，并与环境因素、危险源相对应。</w:t>
            </w:r>
          </w:p>
          <w:p>
            <w:pPr>
              <w:snapToGrid w:val="0"/>
              <w:spacing w:line="360" w:lineRule="auto"/>
              <w:ind w:firstLine="480" w:firstLineChars="200"/>
              <w:rPr>
                <w:rFonts w:ascii="楷体" w:hAnsi="楷体" w:eastAsia="楷体"/>
                <w:sz w:val="24"/>
                <w:szCs w:val="24"/>
                <w:highlight w:val="yellow"/>
              </w:rPr>
            </w:pPr>
            <w:r>
              <w:rPr>
                <w:rFonts w:hint="eastAsia" w:ascii="楷体" w:hAnsi="楷体" w:eastAsia="楷体" w:cs="宋体"/>
                <w:sz w:val="24"/>
                <w:szCs w:val="24"/>
              </w:rPr>
              <w:t>公司收集的法律、法规及其它要求部分已过期，现场指正。各部门如有需要到行政部查阅。公司通过培训、会议等方式向有关员工传达法律、法规及其它要求的相关要求。</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6.1.4</w:t>
            </w:r>
          </w:p>
          <w:p>
            <w:pPr>
              <w:spacing w:line="360" w:lineRule="auto"/>
              <w:rPr>
                <w:rFonts w:ascii="楷体" w:hAnsi="楷体" w:eastAsia="楷体"/>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Arial"/>
                <w:sz w:val="24"/>
                <w:szCs w:val="24"/>
              </w:rPr>
            </w:pPr>
            <w:r>
              <w:rPr>
                <w:rFonts w:ascii="楷体" w:hAnsi="楷体" w:eastAsia="楷体" w:cs="Arial"/>
                <w:sz w:val="24"/>
                <w:szCs w:val="24"/>
              </w:rPr>
              <w:t>E9.1.2</w:t>
            </w:r>
          </w:p>
          <w:p>
            <w:pPr>
              <w:spacing w:line="360" w:lineRule="auto"/>
              <w:rPr>
                <w:rFonts w:ascii="楷体" w:hAnsi="楷体" w:eastAsia="楷体" w:cs="楷体"/>
                <w:bCs/>
                <w:sz w:val="24"/>
                <w:szCs w:val="24"/>
              </w:rPr>
            </w:pP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编制了《合规性评价控制程序</w:t>
            </w:r>
            <w:r>
              <w:rPr>
                <w:rFonts w:ascii="楷体" w:hAnsi="楷体" w:eastAsia="楷体" w:cs="宋体"/>
                <w:sz w:val="24"/>
                <w:szCs w:val="24"/>
              </w:rPr>
              <w:t>ZJHJ-CX18-2019</w:t>
            </w:r>
            <w:r>
              <w:rPr>
                <w:rFonts w:hint="eastAsia" w:ascii="楷体" w:hAnsi="楷体" w:eastAsia="楷体" w:cs="宋体"/>
                <w:sz w:val="24"/>
                <w:szCs w:val="24"/>
              </w:rPr>
              <w:t>》，其中规定了对本公司法规及其他要求的合规性评价的要求。</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现场提供了《合规性评价报告》、《法律、法规和其他要求符合性评价记录》,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评价人：钟恢明、饶念、李增全，</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评价日期：20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9</w:t>
            </w:r>
            <w:r>
              <w:rPr>
                <w:rFonts w:hint="eastAsia" w:ascii="楷体" w:hAnsi="楷体" w:eastAsia="楷体" w:cs="宋体"/>
                <w:sz w:val="24"/>
                <w:szCs w:val="24"/>
              </w:rPr>
              <w:t>月</w:t>
            </w:r>
            <w:r>
              <w:rPr>
                <w:rFonts w:hint="eastAsia" w:ascii="楷体" w:hAnsi="楷体" w:eastAsia="楷体" w:cs="宋体"/>
                <w:sz w:val="24"/>
                <w:szCs w:val="24"/>
                <w:lang w:val="en-US" w:eastAsia="zh-CN"/>
              </w:rPr>
              <w:t>20</w:t>
            </w:r>
            <w:r>
              <w:rPr>
                <w:rFonts w:hint="eastAsia" w:ascii="楷体" w:hAnsi="楷体" w:eastAsia="楷体" w:cs="宋体"/>
                <w:sz w:val="24"/>
                <w:szCs w:val="24"/>
              </w:rPr>
              <w:t>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E9.1.1</w:t>
            </w:r>
          </w:p>
          <w:p>
            <w:pPr>
              <w:tabs>
                <w:tab w:val="left" w:pos="6597"/>
              </w:tabs>
              <w:spacing w:line="360" w:lineRule="auto"/>
              <w:rPr>
                <w:rFonts w:ascii="楷体" w:hAnsi="楷体" w:eastAsia="楷体" w:cs="楷体"/>
                <w:sz w:val="24"/>
                <w:szCs w:val="24"/>
              </w:rPr>
            </w:pPr>
          </w:p>
        </w:tc>
        <w:tc>
          <w:tcPr>
            <w:tcW w:w="10606"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2</w:t>
            </w:r>
            <w:r>
              <w:rPr>
                <w:rFonts w:hint="eastAsia" w:ascii="楷体" w:hAnsi="楷体" w:eastAsia="楷体" w:cs="宋体"/>
                <w:sz w:val="24"/>
                <w:szCs w:val="24"/>
              </w:rPr>
              <w:t>月“目标考核表”，检查考核已完成，考核人饶念\钟恢明。</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加工/办公/生活区域卫生是否清理干净，固废收集情况；办公区域是否安全用电；消防设施是否完好；消防通道是否畅通；火器是否在有效期内，压力是否正常等。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20</w:t>
            </w:r>
            <w:r>
              <w:rPr>
                <w:rFonts w:hint="eastAsia" w:ascii="楷体" w:hAnsi="楷体" w:eastAsia="楷体" w:cs="宋体"/>
                <w:sz w:val="24"/>
                <w:szCs w:val="24"/>
              </w:rPr>
              <w:t>.1</w:t>
            </w:r>
            <w:r>
              <w:rPr>
                <w:rFonts w:hint="eastAsia" w:ascii="楷体" w:hAnsi="楷体" w:eastAsia="楷体" w:cs="宋体"/>
                <w:sz w:val="24"/>
                <w:szCs w:val="24"/>
                <w:lang w:val="en-US" w:eastAsia="zh-CN"/>
              </w:rPr>
              <w:t>2</w:t>
            </w:r>
            <w:r>
              <w:rPr>
                <w:rFonts w:hint="eastAsia" w:ascii="楷体" w:hAnsi="楷体" w:eastAsia="楷体" w:cs="宋体"/>
                <w:sz w:val="24"/>
                <w:szCs w:val="24"/>
              </w:rPr>
              <w:t>.</w:t>
            </w:r>
            <w:r>
              <w:rPr>
                <w:rFonts w:hint="eastAsia" w:ascii="楷体" w:hAnsi="楷体" w:eastAsia="楷体" w:cs="宋体"/>
                <w:sz w:val="24"/>
                <w:szCs w:val="24"/>
                <w:lang w:val="en-US" w:eastAsia="zh-CN"/>
              </w:rPr>
              <w:t>29</w:t>
            </w:r>
            <w:r>
              <w:rPr>
                <w:rFonts w:hint="eastAsia" w:ascii="楷体" w:hAnsi="楷体" w:eastAsia="楷体" w:cs="宋体"/>
                <w:sz w:val="24"/>
                <w:szCs w:val="24"/>
              </w:rPr>
              <w:t>日、202</w:t>
            </w:r>
            <w:r>
              <w:rPr>
                <w:rFonts w:hint="eastAsia" w:ascii="楷体" w:hAnsi="楷体" w:eastAsia="楷体" w:cs="宋体"/>
                <w:sz w:val="24"/>
                <w:szCs w:val="24"/>
                <w:lang w:val="en-US" w:eastAsia="zh-CN"/>
              </w:rPr>
              <w:t>1</w:t>
            </w:r>
            <w:r>
              <w:rPr>
                <w:rFonts w:hint="eastAsia" w:ascii="楷体" w:hAnsi="楷体" w:eastAsia="楷体" w:cs="宋体"/>
                <w:sz w:val="24"/>
                <w:szCs w:val="24"/>
              </w:rPr>
              <w:t>.1.</w:t>
            </w:r>
            <w:r>
              <w:rPr>
                <w:rFonts w:hint="eastAsia" w:ascii="楷体" w:hAnsi="楷体" w:eastAsia="楷体" w:cs="宋体"/>
                <w:sz w:val="24"/>
                <w:szCs w:val="24"/>
                <w:lang w:val="en-US" w:eastAsia="zh-CN"/>
              </w:rPr>
              <w:t>17</w:t>
            </w:r>
            <w:r>
              <w:rPr>
                <w:rFonts w:hint="eastAsia" w:ascii="楷体" w:hAnsi="楷体" w:eastAsia="楷体" w:cs="宋体"/>
                <w:sz w:val="24"/>
                <w:szCs w:val="24"/>
              </w:rPr>
              <w:t>日、</w:t>
            </w:r>
            <w:r>
              <w:rPr>
                <w:rFonts w:ascii="楷体" w:hAnsi="楷体" w:eastAsia="楷体" w:cs="宋体"/>
                <w:sz w:val="24"/>
                <w:szCs w:val="24"/>
              </w:rPr>
              <w:t>202</w:t>
            </w:r>
            <w:r>
              <w:rPr>
                <w:rFonts w:hint="eastAsia" w:ascii="楷体" w:hAnsi="楷体" w:eastAsia="楷体" w:cs="宋体"/>
                <w:sz w:val="24"/>
                <w:szCs w:val="24"/>
                <w:lang w:val="en-US" w:eastAsia="zh-CN"/>
              </w:rPr>
              <w:t>1</w:t>
            </w:r>
            <w:r>
              <w:rPr>
                <w:rFonts w:ascii="楷体" w:hAnsi="楷体" w:eastAsia="楷体" w:cs="宋体"/>
                <w:sz w:val="24"/>
                <w:szCs w:val="24"/>
              </w:rPr>
              <w:t>.2.2</w:t>
            </w:r>
            <w:r>
              <w:rPr>
                <w:rFonts w:hint="eastAsia" w:ascii="楷体" w:hAnsi="楷体" w:eastAsia="楷体" w:cs="宋体"/>
                <w:sz w:val="24"/>
                <w:szCs w:val="24"/>
                <w:lang w:val="en-US" w:eastAsia="zh-CN"/>
              </w:rPr>
              <w:t>4</w:t>
            </w:r>
            <w:r>
              <w:rPr>
                <w:rFonts w:hint="eastAsia" w:ascii="楷体" w:hAnsi="楷体" w:eastAsia="楷体" w:cs="宋体"/>
                <w:sz w:val="24"/>
                <w:szCs w:val="24"/>
              </w:rPr>
              <w:t>日检查结果均正常，检查人饶念。</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pacing w:line="360" w:lineRule="auto"/>
              <w:ind w:firstLine="480" w:firstLineChars="200"/>
              <w:rPr>
                <w:rFonts w:ascii="楷体" w:hAnsi="楷体" w:eastAsia="楷体" w:cs="楷体"/>
                <w:sz w:val="24"/>
                <w:szCs w:val="24"/>
                <w:highlight w:val="yellow"/>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楷体"/>
                <w:bCs/>
                <w:sz w:val="24"/>
                <w:szCs w:val="24"/>
              </w:rPr>
              <w:t>E8.1</w:t>
            </w:r>
          </w:p>
          <w:p>
            <w:pPr>
              <w:spacing w:line="360" w:lineRule="auto"/>
              <w:rPr>
                <w:rFonts w:ascii="楷体" w:hAnsi="楷体" w:eastAsia="楷体" w:cs="楷体"/>
                <w:sz w:val="24"/>
                <w:szCs w:val="24"/>
              </w:rPr>
            </w:pPr>
          </w:p>
        </w:tc>
        <w:tc>
          <w:tcPr>
            <w:tcW w:w="10606" w:type="dxa"/>
            <w:vAlign w:val="center"/>
          </w:tcPr>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企业位于江西省南昌市红谷滩新区赣江中大道1218号南昌新地中心办公、酒店式公寓楼1703(第17层)，</w:t>
            </w:r>
            <w:r>
              <w:rPr>
                <w:rFonts w:ascii="楷体" w:hAnsi="楷体" w:eastAsia="楷体" w:cs="楷体"/>
                <w:sz w:val="24"/>
                <w:szCs w:val="24"/>
              </w:rPr>
              <w:t>有房屋租赁合同</w:t>
            </w:r>
            <w:r>
              <w:rPr>
                <w:rFonts w:hint="eastAsia" w:ascii="楷体" w:hAnsi="楷体" w:eastAsia="楷体" w:cs="楷体"/>
                <w:sz w:val="24"/>
                <w:szCs w:val="24"/>
              </w:rPr>
              <w:t>，公司四周是其他企业，无重大敏感区，根据体系运行的需要设置了行政、市场、咨询各部门办公区。</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行政部定期组织环保和安全知识培训，员工具备了基本的环保和职业健康安全防护意识，见7.3条款审核记录。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按公司要求人走关灯，行政部电脑要求人走后电源切断。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行政部垃圾主要包含可回收垃圾、硒鼓、废纸。公司配置了垃圾箱，行政部统一处理。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对可回收的固体废弃物，一部分由厂家回收，厂家不回收的公司统一回收再利用或由物资回收公司处理。不可回收的废弃物由所租赁的用友办公大楼物业统一处理，公司缴纳物业管理费。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为满足环境和职业健康安全体系的运行，公司投入了环保及安全资金，主要是培训费、维修设备购置费、社保等，20</w:t>
            </w:r>
            <w:r>
              <w:rPr>
                <w:rFonts w:hint="eastAsia" w:ascii="楷体" w:hAnsi="楷体" w:eastAsia="楷体" w:cs="楷体"/>
                <w:sz w:val="24"/>
                <w:szCs w:val="24"/>
                <w:lang w:val="en-US" w:eastAsia="zh-CN"/>
              </w:rPr>
              <w:t>20</w:t>
            </w:r>
            <w:r>
              <w:rPr>
                <w:rFonts w:hint="eastAsia" w:ascii="楷体" w:hAnsi="楷体" w:eastAsia="楷体" w:cs="楷体"/>
                <w:sz w:val="24"/>
                <w:szCs w:val="24"/>
              </w:rPr>
              <w:t>年度</w:t>
            </w:r>
            <w:r>
              <w:rPr>
                <w:rFonts w:hint="eastAsia" w:ascii="楷体" w:hAnsi="楷体" w:eastAsia="楷体" w:cs="楷体"/>
                <w:sz w:val="24"/>
                <w:szCs w:val="24"/>
                <w:lang w:val="en-US" w:eastAsia="zh-CN"/>
              </w:rPr>
              <w:t>至今</w:t>
            </w:r>
            <w:r>
              <w:rPr>
                <w:rFonts w:hint="eastAsia" w:ascii="楷体" w:hAnsi="楷体" w:eastAsia="楷体" w:cs="楷体"/>
                <w:sz w:val="24"/>
                <w:szCs w:val="24"/>
              </w:rPr>
              <w:t>运行至今支出约</w:t>
            </w:r>
            <w:r>
              <w:rPr>
                <w:rFonts w:hint="eastAsia" w:ascii="楷体" w:hAnsi="楷体" w:eastAsia="楷体" w:cs="楷体"/>
                <w:color w:val="auto"/>
                <w:sz w:val="24"/>
                <w:szCs w:val="24"/>
                <w:lang w:val="en-US" w:eastAsia="zh-CN"/>
              </w:rPr>
              <w:t>186.2</w:t>
            </w:r>
            <w:r>
              <w:rPr>
                <w:rFonts w:hint="eastAsia" w:ascii="楷体" w:hAnsi="楷体" w:eastAsia="楷体" w:cs="楷体"/>
                <w:sz w:val="24"/>
                <w:szCs w:val="24"/>
              </w:rPr>
              <w:t>万元。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bookmarkStart w:id="0" w:name="_GoBack"/>
            <w:bookmarkEnd w:id="0"/>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视频远程查看现场办公区域配备了灭火器等消防设施，状况正常。</w:t>
            </w:r>
          </w:p>
          <w:p>
            <w:pPr>
              <w:spacing w:line="360" w:lineRule="auto"/>
              <w:ind w:firstLine="480" w:firstLineChars="200"/>
              <w:rPr>
                <w:rFonts w:ascii="楷体" w:hAnsi="楷体" w:eastAsia="楷体" w:cs="楷体"/>
                <w:sz w:val="24"/>
                <w:szCs w:val="24"/>
                <w:highlight w:val="yellow"/>
              </w:rPr>
            </w:pPr>
            <w:r>
              <w:rPr>
                <w:rFonts w:ascii="楷体" w:hAnsi="楷体" w:eastAsia="楷体" w:cs="楷体"/>
                <w:sz w:val="24"/>
                <w:szCs w:val="24"/>
              </w:rPr>
              <w:drawing>
                <wp:inline distT="0" distB="0" distL="0" distR="0">
                  <wp:extent cx="2393950" cy="3192145"/>
                  <wp:effectExtent l="19050" t="0" r="5759"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a:srcRect/>
                          <a:stretch>
                            <a:fillRect/>
                          </a:stretch>
                        </pic:blipFill>
                        <pic:spPr>
                          <a:xfrm>
                            <a:off x="0" y="0"/>
                            <a:ext cx="2394560" cy="3192626"/>
                          </a:xfrm>
                          <a:prstGeom prst="rect">
                            <a:avLst/>
                          </a:prstGeom>
                          <a:noFill/>
                          <a:ln w="9525">
                            <a:noFill/>
                            <a:miter lim="800000"/>
                            <a:headEnd/>
                            <a:tailEnd/>
                          </a:ln>
                        </pic:spPr>
                      </pic:pic>
                    </a:graphicData>
                  </a:graphic>
                </wp:inline>
              </w:drawing>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提供《重要相关方施加影响一览表》，20</w:t>
            </w:r>
            <w:r>
              <w:rPr>
                <w:rFonts w:hint="eastAsia" w:ascii="楷体" w:hAnsi="楷体" w:eastAsia="楷体"/>
                <w:sz w:val="24"/>
                <w:szCs w:val="24"/>
                <w:lang w:val="en-US" w:eastAsia="zh-CN"/>
              </w:rPr>
              <w:t>20</w:t>
            </w:r>
            <w:r>
              <w:rPr>
                <w:rFonts w:hint="eastAsia" w:ascii="楷体" w:hAnsi="楷体" w:eastAsia="楷体"/>
                <w:sz w:val="24"/>
                <w:szCs w:val="24"/>
              </w:rPr>
              <w:t>.9.</w:t>
            </w:r>
            <w:r>
              <w:rPr>
                <w:rFonts w:hint="eastAsia" w:ascii="楷体" w:hAnsi="楷体" w:eastAsia="楷体"/>
                <w:sz w:val="24"/>
                <w:szCs w:val="24"/>
                <w:lang w:val="en-US" w:eastAsia="zh-CN"/>
              </w:rPr>
              <w:t>20</w:t>
            </w:r>
            <w:r>
              <w:rPr>
                <w:rFonts w:hint="eastAsia" w:ascii="楷体" w:hAnsi="楷体" w:eastAsia="楷体"/>
                <w:sz w:val="24"/>
                <w:szCs w:val="24"/>
              </w:rPr>
              <w:t>日对采购物资相关方、销售客户、周边社区施加影响，内容:将公司的环境/职业健康安全方针、重要环境因素/危险源等，通过告知书的方式通知对方。但未能提供对合格供方“江西省梦保美环境检测技术有限公司”，进行施加环境影响评价的相关证据，开具了不符合项，要求改善。</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不允许乱动公司办公设备，需遵守本公司现场安全管理的相关规定，进入我方公司办公区域内的相关人员必须填写来访登记，并服从我方人员的引导，在公司区域内活动，需注意环境、安全方面的提示，自觉爱护公司内的花草树木和存有危险区域请止步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对于2020年度此次新型冠状病毒感染的肺炎疫情防控事宜，公司有进行人员出入登记，量体温，戴口罩等。</w:t>
            </w:r>
          </w:p>
          <w:p>
            <w:pPr>
              <w:spacing w:line="360" w:lineRule="auto"/>
              <w:ind w:firstLine="480" w:firstLineChars="200"/>
              <w:rPr>
                <w:rFonts w:ascii="楷体" w:hAnsi="楷体" w:eastAsia="楷体" w:cs="楷体"/>
                <w:sz w:val="24"/>
                <w:szCs w:val="24"/>
                <w:highlight w:val="yellow"/>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不符合</w:t>
            </w:r>
          </w:p>
          <w:p>
            <w:pPr>
              <w:spacing w:line="360" w:lineRule="auto"/>
              <w:rPr>
                <w:rFonts w:ascii="楷体" w:hAnsi="楷体" w:eastAsia="楷体"/>
                <w:sz w:val="24"/>
                <w:szCs w:val="24"/>
              </w:rPr>
            </w:pPr>
          </w:p>
          <w:p>
            <w:pPr>
              <w:spacing w:line="360" w:lineRule="auto"/>
              <w:rPr>
                <w:rFonts w:ascii="楷体" w:hAnsi="楷体" w:eastAsia="楷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E8.2</w:t>
            </w: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触电等。提供了火灾应急预案、触电事故应急预案、企业疫情防控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应急设施配置：在办公场所内、生产区域内均配备了灭火器等消防设施，口罩、消毒水、体温计、手套等防护用品，均在有效期内，状态良好。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25</w:t>
            </w:r>
            <w:r>
              <w:rPr>
                <w:rFonts w:hint="eastAsia" w:ascii="楷体" w:hAnsi="楷体" w:eastAsia="楷体" w:cs="楷体"/>
                <w:sz w:val="24"/>
                <w:szCs w:val="24"/>
              </w:rPr>
              <w:t>日的《火灾应急救援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预案适宜性充分性评审：适宜性：全部能够执行；充分性：完全满足应急要求。</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再查20</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val="en-US" w:eastAsia="zh-CN"/>
              </w:rPr>
              <w:t>8</w:t>
            </w:r>
            <w:r>
              <w:rPr>
                <w:rFonts w:hint="eastAsia" w:ascii="楷体" w:hAnsi="楷体" w:eastAsia="楷体" w:cs="楷体"/>
                <w:sz w:val="24"/>
                <w:szCs w:val="24"/>
              </w:rPr>
              <w:t>.</w:t>
            </w:r>
            <w:r>
              <w:rPr>
                <w:rFonts w:hint="eastAsia" w:ascii="楷体" w:hAnsi="楷体" w:eastAsia="楷体" w:cs="楷体"/>
                <w:sz w:val="24"/>
                <w:szCs w:val="24"/>
                <w:lang w:val="en-US" w:eastAsia="zh-CN"/>
              </w:rPr>
              <w:t>26</w:t>
            </w:r>
            <w:r>
              <w:rPr>
                <w:rFonts w:hint="eastAsia" w:ascii="楷体" w:hAnsi="楷体" w:eastAsia="楷体" w:cs="楷体"/>
                <w:sz w:val="24"/>
                <w:szCs w:val="24"/>
              </w:rPr>
              <w:t>日的《触电应急救援预案演练记录》，情况基本同上。</w:t>
            </w:r>
          </w:p>
          <w:p>
            <w:pPr>
              <w:spacing w:line="360" w:lineRule="auto"/>
              <w:ind w:firstLine="600" w:firstLineChars="250"/>
              <w:rPr>
                <w:rFonts w:ascii="楷体" w:hAnsi="楷体" w:eastAsia="楷体" w:cs="楷体"/>
                <w:sz w:val="24"/>
                <w:szCs w:val="24"/>
              </w:rPr>
            </w:pPr>
            <w:r>
              <w:rPr>
                <w:rFonts w:hint="eastAsia" w:ascii="楷体" w:hAnsi="楷体" w:eastAsia="楷体" w:cs="楷体"/>
                <w:sz w:val="24"/>
                <w:szCs w:val="24"/>
              </w:rPr>
              <w:t>现场巡视办公区有灭火器和消防栓，均有效。</w:t>
            </w:r>
          </w:p>
          <w:p>
            <w:pPr>
              <w:spacing w:line="360" w:lineRule="auto"/>
              <w:ind w:firstLine="600" w:firstLineChars="250"/>
              <w:rPr>
                <w:rFonts w:ascii="楷体" w:hAnsi="楷体" w:eastAsia="楷体" w:cs="楷体"/>
                <w:sz w:val="24"/>
                <w:szCs w:val="24"/>
                <w:highlight w:val="yellow"/>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highlight w:val="yellow"/>
              </w:rPr>
            </w:pPr>
            <w:r>
              <w:rPr>
                <w:rFonts w:ascii="楷体" w:hAnsi="楷体" w:eastAsia="楷体"/>
                <w:sz w:val="24"/>
                <w:szCs w:val="24"/>
              </w:rPr>
              <w:t>合格</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ISC-B-II-31管理体系审核记录表(03版)</w:t>
                </w:r>
              </w:p>
            </w:txbxContent>
          </v:textbox>
        </v:shape>
      </w:pic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5199E"/>
    <w:rsid w:val="00052202"/>
    <w:rsid w:val="00053EE6"/>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16D"/>
    <w:rsid w:val="000D697A"/>
    <w:rsid w:val="000D7C2E"/>
    <w:rsid w:val="000E2B69"/>
    <w:rsid w:val="000E355F"/>
    <w:rsid w:val="000E4402"/>
    <w:rsid w:val="000E6907"/>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2951"/>
    <w:rsid w:val="001677C1"/>
    <w:rsid w:val="00170B6A"/>
    <w:rsid w:val="00174C08"/>
    <w:rsid w:val="00176B5D"/>
    <w:rsid w:val="001825AD"/>
    <w:rsid w:val="00185DBE"/>
    <w:rsid w:val="00187C5A"/>
    <w:rsid w:val="00191047"/>
    <w:rsid w:val="001918ED"/>
    <w:rsid w:val="00192A7F"/>
    <w:rsid w:val="001941D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D6BC1"/>
    <w:rsid w:val="002E0587"/>
    <w:rsid w:val="002E1E1D"/>
    <w:rsid w:val="002E6597"/>
    <w:rsid w:val="002F030C"/>
    <w:rsid w:val="002F1DCE"/>
    <w:rsid w:val="002F51CA"/>
    <w:rsid w:val="003002BB"/>
    <w:rsid w:val="003120F5"/>
    <w:rsid w:val="00313F8D"/>
    <w:rsid w:val="00316FF8"/>
    <w:rsid w:val="00317401"/>
    <w:rsid w:val="00317FAF"/>
    <w:rsid w:val="0032112D"/>
    <w:rsid w:val="00325BFD"/>
    <w:rsid w:val="003264F9"/>
    <w:rsid w:val="00326FC1"/>
    <w:rsid w:val="00327EB6"/>
    <w:rsid w:val="00330DBC"/>
    <w:rsid w:val="00337922"/>
    <w:rsid w:val="003379A5"/>
    <w:rsid w:val="00340867"/>
    <w:rsid w:val="00341CA5"/>
    <w:rsid w:val="00342413"/>
    <w:rsid w:val="00342857"/>
    <w:rsid w:val="003504E8"/>
    <w:rsid w:val="003507AC"/>
    <w:rsid w:val="00351CD4"/>
    <w:rsid w:val="003538E3"/>
    <w:rsid w:val="003608CB"/>
    <w:rsid w:val="003627B6"/>
    <w:rsid w:val="003675FE"/>
    <w:rsid w:val="003708D5"/>
    <w:rsid w:val="0037587D"/>
    <w:rsid w:val="0038061A"/>
    <w:rsid w:val="0038063B"/>
    <w:rsid w:val="00380837"/>
    <w:rsid w:val="0038092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4A58"/>
    <w:rsid w:val="003C7699"/>
    <w:rsid w:val="003D1723"/>
    <w:rsid w:val="003D470D"/>
    <w:rsid w:val="003D6B8A"/>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444E4"/>
    <w:rsid w:val="00450792"/>
    <w:rsid w:val="00456697"/>
    <w:rsid w:val="004606D0"/>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7341"/>
    <w:rsid w:val="00527D29"/>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4FCD"/>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0C57"/>
    <w:rsid w:val="007E6AEB"/>
    <w:rsid w:val="007E7C11"/>
    <w:rsid w:val="007F01EC"/>
    <w:rsid w:val="007F0EA0"/>
    <w:rsid w:val="007F1DD4"/>
    <w:rsid w:val="007F3AD5"/>
    <w:rsid w:val="007F47AA"/>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5FBF"/>
    <w:rsid w:val="008A7C7E"/>
    <w:rsid w:val="008B028C"/>
    <w:rsid w:val="008B21BA"/>
    <w:rsid w:val="008B4EE2"/>
    <w:rsid w:val="008B5576"/>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519"/>
    <w:rsid w:val="00963A6C"/>
    <w:rsid w:val="00965A0E"/>
    <w:rsid w:val="0096609F"/>
    <w:rsid w:val="00971600"/>
    <w:rsid w:val="0098057D"/>
    <w:rsid w:val="00984342"/>
    <w:rsid w:val="009853EA"/>
    <w:rsid w:val="00993632"/>
    <w:rsid w:val="00996B0D"/>
    <w:rsid w:val="009973B4"/>
    <w:rsid w:val="009978AC"/>
    <w:rsid w:val="009A1279"/>
    <w:rsid w:val="009A3FB8"/>
    <w:rsid w:val="009A4B5C"/>
    <w:rsid w:val="009A6F79"/>
    <w:rsid w:val="009B16F4"/>
    <w:rsid w:val="009B4D68"/>
    <w:rsid w:val="009B6785"/>
    <w:rsid w:val="009B6AB3"/>
    <w:rsid w:val="009B7D75"/>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328"/>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97D5C"/>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473D8"/>
    <w:rsid w:val="00B526B1"/>
    <w:rsid w:val="00B546C0"/>
    <w:rsid w:val="00B565BF"/>
    <w:rsid w:val="00B6762E"/>
    <w:rsid w:val="00B71EA0"/>
    <w:rsid w:val="00B73843"/>
    <w:rsid w:val="00B73B0E"/>
    <w:rsid w:val="00B73EA8"/>
    <w:rsid w:val="00B802EC"/>
    <w:rsid w:val="00B8202D"/>
    <w:rsid w:val="00B82639"/>
    <w:rsid w:val="00B91271"/>
    <w:rsid w:val="00B91605"/>
    <w:rsid w:val="00B929FD"/>
    <w:rsid w:val="00B95B99"/>
    <w:rsid w:val="00B95F69"/>
    <w:rsid w:val="00B9706D"/>
    <w:rsid w:val="00BA5B19"/>
    <w:rsid w:val="00BB0434"/>
    <w:rsid w:val="00BC0122"/>
    <w:rsid w:val="00BC2015"/>
    <w:rsid w:val="00BC71B0"/>
    <w:rsid w:val="00BD3E2B"/>
    <w:rsid w:val="00BD4E08"/>
    <w:rsid w:val="00BD6DBC"/>
    <w:rsid w:val="00BE00E9"/>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5EF5"/>
    <w:rsid w:val="00C67E19"/>
    <w:rsid w:val="00C67E47"/>
    <w:rsid w:val="00C70C21"/>
    <w:rsid w:val="00C71E85"/>
    <w:rsid w:val="00C750BE"/>
    <w:rsid w:val="00C75BF3"/>
    <w:rsid w:val="00C76A3E"/>
    <w:rsid w:val="00C773BA"/>
    <w:rsid w:val="00C776A5"/>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2EAC"/>
    <w:rsid w:val="00CC3BF9"/>
    <w:rsid w:val="00CC4D84"/>
    <w:rsid w:val="00CD0800"/>
    <w:rsid w:val="00CD394A"/>
    <w:rsid w:val="00CD6105"/>
    <w:rsid w:val="00CD68C2"/>
    <w:rsid w:val="00CD6C83"/>
    <w:rsid w:val="00CD6E0D"/>
    <w:rsid w:val="00CE0AA5"/>
    <w:rsid w:val="00CE2A9E"/>
    <w:rsid w:val="00CE2DBB"/>
    <w:rsid w:val="00CE315A"/>
    <w:rsid w:val="00CE4B8A"/>
    <w:rsid w:val="00CE7BE1"/>
    <w:rsid w:val="00CF147A"/>
    <w:rsid w:val="00CF1726"/>
    <w:rsid w:val="00CF5473"/>
    <w:rsid w:val="00CF6C5C"/>
    <w:rsid w:val="00CF6E3B"/>
    <w:rsid w:val="00D004F0"/>
    <w:rsid w:val="00D0368C"/>
    <w:rsid w:val="00D04E45"/>
    <w:rsid w:val="00D06F59"/>
    <w:rsid w:val="00D071AB"/>
    <w:rsid w:val="00D13453"/>
    <w:rsid w:val="00D27966"/>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5E86"/>
    <w:rsid w:val="00E676F9"/>
    <w:rsid w:val="00E7279B"/>
    <w:rsid w:val="00E74608"/>
    <w:rsid w:val="00E84C02"/>
    <w:rsid w:val="00E90BBC"/>
    <w:rsid w:val="00E910C0"/>
    <w:rsid w:val="00E95114"/>
    <w:rsid w:val="00E95637"/>
    <w:rsid w:val="00E97424"/>
    <w:rsid w:val="00EA04FF"/>
    <w:rsid w:val="00EA55F7"/>
    <w:rsid w:val="00EB0164"/>
    <w:rsid w:val="00EB5DF5"/>
    <w:rsid w:val="00EB65F7"/>
    <w:rsid w:val="00EB7607"/>
    <w:rsid w:val="00EC3DBA"/>
    <w:rsid w:val="00EC42F5"/>
    <w:rsid w:val="00EC6620"/>
    <w:rsid w:val="00ED0F62"/>
    <w:rsid w:val="00ED4226"/>
    <w:rsid w:val="00ED5BCB"/>
    <w:rsid w:val="00ED7F2E"/>
    <w:rsid w:val="00EE5CD9"/>
    <w:rsid w:val="00EE6713"/>
    <w:rsid w:val="00EE71F4"/>
    <w:rsid w:val="00EF29B6"/>
    <w:rsid w:val="00EF36E7"/>
    <w:rsid w:val="00F05FB7"/>
    <w:rsid w:val="00F06B25"/>
    <w:rsid w:val="00F06D09"/>
    <w:rsid w:val="00F11201"/>
    <w:rsid w:val="00F115BF"/>
    <w:rsid w:val="00F14D99"/>
    <w:rsid w:val="00F14FBF"/>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101E"/>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3089094C"/>
    <w:rsid w:val="39E66912"/>
    <w:rsid w:val="5EA12B9A"/>
    <w:rsid w:val="7FA2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B1A64-6F5C-461C-82F3-08E0A0BC2C26}">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587</Words>
  <Characters>3349</Characters>
  <Lines>27</Lines>
  <Paragraphs>7</Paragraphs>
  <TotalTime>1130</TotalTime>
  <ScaleCrop>false</ScaleCrop>
  <LinksUpToDate>false</LinksUpToDate>
  <CharactersWithSpaces>3929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2021-04-02T01:47:31Z</dcterms:modified>
  <cp:revision>989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1CA7B4ECA15E4340B2DFC9CBDE77743B</vt:lpwstr>
  </property>
</Properties>
</file>