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成都润亿达环境科技有限公司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0230-2018-QEO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Q:补充,E:补充,O:补充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2021年03月31日</w:t>
            </w:r>
            <w:r>
              <w:rPr>
                <w:rFonts w:hint="eastAsia"/>
                <w:b/>
                <w:sz w:val="20"/>
                <w:lang w:val="en-US" w:eastAsia="zh-CN"/>
              </w:rPr>
              <w:t>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2021年03月31日</w:t>
            </w:r>
            <w:r>
              <w:rPr>
                <w:rFonts w:hint="eastAsia"/>
                <w:b/>
                <w:sz w:val="20"/>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7" w:name="_GoBack"/>
            <w:bookmarkEnd w:id="7"/>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2021年03月31日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1410BB"/>
    <w:rsid w:val="2A461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2021-03-31T01:45:09Z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C8818AC7D0FF4583B52FF806C60885DD</vt:lpwstr>
  </property>
</Properties>
</file>