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0264-2020-QEO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四川恒升信达科技有限公司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Q:29.09.02,33.02.01,33.02.02</w:t>
            </w:r>
          </w:p>
          <w:p>
            <w:pPr>
              <w:spacing w:line="240" w:lineRule="exact"/>
              <w:jc w:val="center"/>
              <w:rPr>
                <w:b/>
                <w:color w:val="000000" w:themeColor="text1"/>
                <w:sz w:val="20"/>
                <w:szCs w:val="20"/>
              </w:rPr>
            </w:pPr>
            <w:r>
              <w:rPr>
                <w:b/>
                <w:color w:val="000000" w:themeColor="text1"/>
                <w:sz w:val="20"/>
                <w:szCs w:val="20"/>
              </w:rPr>
              <w:t>E:29.09.02,33.02.01,33.02.02</w:t>
            </w:r>
          </w:p>
          <w:p>
            <w:pPr>
              <w:spacing w:line="240" w:lineRule="exact"/>
              <w:jc w:val="center"/>
              <w:rPr>
                <w:b/>
                <w:color w:val="000000" w:themeColor="text1"/>
                <w:sz w:val="20"/>
                <w:szCs w:val="20"/>
              </w:rPr>
            </w:pPr>
            <w:r>
              <w:rPr>
                <w:b/>
                <w:color w:val="000000" w:themeColor="text1"/>
                <w:sz w:val="20"/>
                <w:szCs w:val="20"/>
              </w:rPr>
              <w:t>O:29.09.02,33.02.01,33.02.02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w:t>
            </w:r>
          </w:p>
          <w:p>
            <w:pPr>
              <w:spacing w:line="240" w:lineRule="exact"/>
              <w:jc w:val="center"/>
              <w:rPr>
                <w:b/>
                <w:color w:val="000000" w:themeColor="text1"/>
                <w:sz w:val="20"/>
                <w:szCs w:val="20"/>
              </w:rPr>
            </w:pPr>
            <w:r>
              <w:rPr>
                <w:b/>
                <w:color w:val="000000" w:themeColor="text1"/>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四川恒升信达科技有限公司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7" w:name="企业人数"/>
            <w:r>
              <w:rPr>
                <w:rFonts w:ascii="宋体" w:hAnsi="宋体"/>
                <w:b/>
                <w:color w:val="000000" w:themeColor="text1"/>
                <w:sz w:val="20"/>
                <w:szCs w:val="20"/>
              </w:rPr>
              <w:t>19</w:t>
            </w:r>
            <w:bookmarkEnd w:id="7"/>
            <w:r>
              <w:rPr>
                <w:rFonts w:hint="eastAsia" w:ascii="宋体" w:hAnsi="宋体"/>
                <w:b/>
                <w:color w:val="000000" w:themeColor="text1"/>
                <w:sz w:val="20"/>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四川省成都市高新区(西区)百叶路6号1栋1层1号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611731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四川省成都市高新区天益街38号理想中心3栋1708号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610094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温忠伟</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028-85435158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蒋小波</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蒋小波</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雷悦</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Q：计算机软件开发，信息系统集成，电子产品销售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E：计算机软件开发，信息系统集成，电子产品销售所涉及的相关环境管理活动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O：计算机软件开发，信息系统集成，电子产品销售所涉及的相关职业健康安全管理活动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Q：29.09.02;33.02.01;33.02.02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E：29.09.02;33.02.01;33.02.02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O：29.09.02;33.02.01;33.02.02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2019-09-20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pacing w:val="-20"/>
                <w:sz w:val="20"/>
                <w:szCs w:val="20"/>
                <w:u w:val="single"/>
              </w:rPr>
            </w:pPr>
            <w:r>
              <w:rPr>
                <w:rFonts w:hint="eastAsia"/>
                <w:sz w:val="21"/>
                <w:szCs w:val="21"/>
              </w:rPr>
              <w:t>Q</w:t>
            </w:r>
            <w:r>
              <w:rPr>
                <w:rFonts w:hint="eastAsia"/>
                <w:sz w:val="21"/>
                <w:szCs w:val="21"/>
                <w:lang w:val="en-US" w:eastAsia="zh-CN"/>
              </w:rPr>
              <w:t>EO</w:t>
            </w:r>
            <w:r>
              <w:rPr>
                <w:rFonts w:hint="eastAsia"/>
                <w:sz w:val="21"/>
                <w:szCs w:val="21"/>
              </w:rPr>
              <w:t>4.1/4.2/4.3/4.4/5.1.1/5.1.2/5.2/5.3/6.1/6.2/7.1/9.1.1/9.3/10.1/10.3</w:t>
            </w:r>
            <w:r>
              <w:rPr>
                <w:rFonts w:hint="eastAsia"/>
                <w:sz w:val="21"/>
                <w:szCs w:val="21"/>
                <w:lang w:eastAsia="zh-CN"/>
              </w:rPr>
              <w:t>；</w:t>
            </w:r>
            <w:r>
              <w:rPr>
                <w:rFonts w:hint="eastAsia"/>
                <w:sz w:val="21"/>
                <w:szCs w:val="21"/>
                <w:lang w:val="en-US" w:eastAsia="zh-CN"/>
              </w:rPr>
              <w:t>Q</w:t>
            </w:r>
            <w:r>
              <w:rPr>
                <w:rFonts w:hint="eastAsia"/>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综合部</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7.1.2/7.1.6/7.2/7.3/7.4/7.5/</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lang w:val="en-US" w:eastAsia="zh-CN"/>
              </w:rPr>
              <w:t>技术</w:t>
            </w:r>
            <w:r>
              <w:rPr>
                <w:rFonts w:hint="eastAsia"/>
                <w:sz w:val="21"/>
                <w:szCs w:val="21"/>
              </w:rPr>
              <w:t>部</w:t>
            </w:r>
          </w:p>
        </w:tc>
        <w:tc>
          <w:tcPr>
            <w:tcW w:w="7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Q5.3/6.2/7.1.3/7.1.4/7.1.5/8.1/</w:t>
            </w:r>
            <w:r>
              <w:rPr>
                <w:rFonts w:hint="default" w:ascii="Times New Roman" w:hAnsi="Times New Roman" w:eastAsia="宋体" w:cs="Times New Roman"/>
                <w:sz w:val="21"/>
                <w:szCs w:val="21"/>
                <w:lang w:val="en-US" w:eastAsia="zh-CN"/>
              </w:rPr>
              <w:t>8.3/8.5.1/</w:t>
            </w:r>
            <w:r>
              <w:rPr>
                <w:rFonts w:hint="default" w:ascii="Times New Roman" w:hAnsi="Times New Roman" w:eastAsia="宋体" w:cs="Times New Roman"/>
                <w:sz w:val="21"/>
                <w:szCs w:val="21"/>
              </w:rPr>
              <w:t>8.5.2/8.5.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/8.5.6</w:t>
            </w:r>
            <w:r>
              <w:rPr>
                <w:rFonts w:hint="default" w:ascii="Times New Roman" w:hAnsi="Times New Roman" w:eastAsia="宋体" w:cs="Times New Roman"/>
                <w:sz w:val="21"/>
                <w:szCs w:val="21"/>
                <w:lang w:val="en-US" w:eastAsia="zh-CN"/>
              </w:rPr>
              <w:t>/8.6/8.7</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市场部</w:t>
            </w:r>
          </w:p>
        </w:tc>
        <w:tc>
          <w:tcPr>
            <w:tcW w:w="796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Q 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w:t>
            </w:r>
            <w:r>
              <w:rPr>
                <w:rFonts w:hint="eastAsia"/>
                <w:sz w:val="21"/>
                <w:szCs w:val="21"/>
                <w:lang w:val="en-US" w:eastAsia="zh-CN"/>
              </w:rPr>
              <w:t>8.5.1</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sz w:val="21"/>
                <w:szCs w:val="21"/>
              </w:rPr>
            </w:pPr>
            <w:r>
              <w:rPr>
                <w:rFonts w:hint="eastAsia"/>
                <w:sz w:val="21"/>
                <w:szCs w:val="21"/>
                <w:lang w:val="en-US" w:eastAsia="zh-CN"/>
              </w:rPr>
              <w:t>EO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财务部</w:t>
            </w:r>
          </w:p>
        </w:tc>
        <w:tc>
          <w:tcPr>
            <w:tcW w:w="79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lang w:val="en-US" w:eastAsia="zh-CN"/>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0"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00"/>
        <w:gridCol w:w="754"/>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3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7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605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b w:val="0"/>
                <w:bCs w:val="0"/>
                <w:sz w:val="20"/>
              </w:rPr>
              <w:t>计算机软件开发，信息系统集成，电子产品销售</w:t>
            </w:r>
          </w:p>
        </w:tc>
        <w:tc>
          <w:tcPr>
            <w:tcW w:w="130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0"/>
                <w:szCs w:val="20"/>
                <w:lang w:val="en-US" w:eastAsia="zh-CN"/>
              </w:rPr>
              <w:t>计算机服务/销售服务</w:t>
            </w:r>
          </w:p>
        </w:tc>
        <w:tc>
          <w:tcPr>
            <w:tcW w:w="754"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0"/>
                <w:szCs w:val="20"/>
                <w:lang w:val="en-US" w:eastAsia="zh-CN"/>
              </w:rPr>
              <w:t>/</w:t>
            </w:r>
          </w:p>
        </w:tc>
        <w:tc>
          <w:tcPr>
            <w:tcW w:w="605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1"/>
                <w:szCs w:val="21"/>
              </w:rPr>
            </w:pPr>
            <w:r>
              <w:rPr>
                <w:rFonts w:hint="eastAsia" w:ascii="Times New Roman" w:hAnsi="Times New Roman" w:cs="Times New Roman"/>
                <w:b w:val="0"/>
                <w:bCs w:val="0"/>
                <w:sz w:val="20"/>
              </w:rPr>
              <w:t>GB/T 9386-2008</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计算机软件测试文档编制规范</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GB/T 26327-2010</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企业信息化系统集成实施指南</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GB 50312-2007</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综合布线系统工程设计与施工</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GB/T8567</w:t>
            </w:r>
            <w:r>
              <w:rPr>
                <w:rFonts w:hint="eastAsia" w:ascii="Times New Roman" w:hAnsi="Times New Roman" w:cs="Times New Roman"/>
                <w:b w:val="0"/>
                <w:bCs w:val="0"/>
                <w:sz w:val="20"/>
                <w:lang w:val="en-US" w:eastAsia="zh-CN"/>
              </w:rPr>
              <w:t>-</w:t>
            </w:r>
            <w:r>
              <w:rPr>
                <w:rFonts w:hint="eastAsia" w:ascii="Times New Roman" w:hAnsi="Times New Roman" w:cs="Times New Roman"/>
                <w:b w:val="0"/>
                <w:bCs w:val="0"/>
                <w:sz w:val="20"/>
              </w:rPr>
              <w:t>2006</w:t>
            </w:r>
            <w:r>
              <w:rPr>
                <w:rFonts w:hint="eastAsia" w:ascii="Times New Roman" w:hAnsi="Times New Roman" w:cs="Times New Roman"/>
                <w:b w:val="0"/>
                <w:bCs w:val="0"/>
                <w:sz w:val="20"/>
                <w:lang w:eastAsia="zh-CN"/>
              </w:rPr>
              <w:t>《</w:t>
            </w:r>
            <w:r>
              <w:rPr>
                <w:rFonts w:hint="eastAsia" w:ascii="Times New Roman" w:hAnsi="Times New Roman" w:cs="Times New Roman"/>
                <w:b w:val="0"/>
                <w:bCs w:val="0"/>
                <w:sz w:val="20"/>
              </w:rPr>
              <w:t>综合布线系统工程验收规范</w:t>
            </w:r>
            <w:r>
              <w:rPr>
                <w:rFonts w:hint="eastAsia" w:ascii="Times New Roman" w:hAnsi="Times New Roman" w:cs="Times New Roman"/>
                <w:b w:val="0"/>
                <w:bCs w:val="0"/>
                <w:sz w:val="20"/>
                <w:lang w:eastAsia="zh-CN"/>
              </w:rPr>
              <w:t>》</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ascii="Times New Roman" w:hAnsi="Times New Roman" w:eastAsia="宋体" w:cs="Times New Roman"/>
          <w:b/>
          <w:color w:val="FF0000"/>
          <w:spacing w:val="-10"/>
          <w:szCs w:val="21"/>
          <w:lang w:eastAsia="zh-CN"/>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000000" w:themeColor="text1"/>
          <w:spacing w:val="-10"/>
          <w:szCs w:val="21"/>
          <w:lang w:val="en-US" w:eastAsia="zh-CN"/>
        </w:rPr>
        <w:t>上次远程</w:t>
      </w:r>
      <w:r>
        <w:rPr>
          <w:rFonts w:hint="eastAsia" w:ascii="Times New Roman" w:hAnsi="Times New Roman" w:eastAsia="宋体" w:cs="Times New Roman"/>
          <w:b/>
          <w:color w:val="000000" w:themeColor="text1"/>
          <w:spacing w:val="-10"/>
          <w:szCs w:val="21"/>
          <w:lang w:val="en-US" w:eastAsia="zh-CN"/>
        </w:rPr>
        <w:t>审核</w:t>
      </w:r>
      <w:r>
        <w:rPr>
          <w:rFonts w:hint="eastAsia" w:ascii="Times New Roman" w:hAnsi="Times New Roman" w:eastAsia="宋体" w:cs="Times New Roman"/>
          <w:b/>
          <w:color w:val="000000" w:themeColor="text1"/>
          <w:spacing w:val="-10"/>
          <w:szCs w:val="21"/>
          <w:lang w:eastAsia="zh-CN"/>
        </w:rPr>
        <w:t>时间20</w:t>
      </w:r>
      <w:r>
        <w:rPr>
          <w:rFonts w:hint="eastAsia" w:ascii="Times New Roman" w:hAnsi="Times New Roman" w:eastAsia="宋体" w:cs="Times New Roman"/>
          <w:b/>
          <w:color w:val="000000" w:themeColor="text1"/>
          <w:spacing w:val="-10"/>
          <w:szCs w:val="21"/>
          <w:lang w:val="en-US" w:eastAsia="zh-CN"/>
        </w:rPr>
        <w:t>20</w:t>
      </w:r>
      <w:r>
        <w:rPr>
          <w:rFonts w:hint="eastAsia" w:ascii="Times New Roman" w:hAnsi="Times New Roman" w:eastAsia="宋体" w:cs="Times New Roman"/>
          <w:b/>
          <w:color w:val="000000" w:themeColor="text1"/>
          <w:spacing w:val="-10"/>
          <w:szCs w:val="21"/>
          <w:lang w:eastAsia="zh-CN"/>
        </w:rPr>
        <w:t xml:space="preserve"> 年</w:t>
      </w:r>
      <w:r>
        <w:rPr>
          <w:rFonts w:hint="eastAsia" w:ascii="Times New Roman" w:hAnsi="Times New Roman" w:eastAsia="宋体" w:cs="Times New Roman"/>
          <w:b/>
          <w:color w:val="000000" w:themeColor="text1"/>
          <w:spacing w:val="-10"/>
          <w:szCs w:val="21"/>
          <w:lang w:val="en-US" w:eastAsia="zh-CN"/>
        </w:rPr>
        <w:t>7</w:t>
      </w:r>
      <w:r>
        <w:rPr>
          <w:rFonts w:hint="eastAsia" w:ascii="Times New Roman" w:hAnsi="Times New Roman" w:eastAsia="宋体" w:cs="Times New Roman"/>
          <w:b/>
          <w:color w:val="000000" w:themeColor="text1"/>
          <w:spacing w:val="-10"/>
          <w:szCs w:val="21"/>
          <w:lang w:eastAsia="zh-CN"/>
        </w:rPr>
        <w:t>月</w:t>
      </w:r>
      <w:r>
        <w:rPr>
          <w:rFonts w:hint="eastAsia" w:ascii="Times New Roman" w:hAnsi="Times New Roman" w:eastAsia="宋体" w:cs="Times New Roman"/>
          <w:b/>
          <w:color w:val="000000" w:themeColor="text1"/>
          <w:spacing w:val="-10"/>
          <w:szCs w:val="21"/>
          <w:lang w:val="en-US" w:eastAsia="zh-CN"/>
        </w:rPr>
        <w:t>1</w:t>
      </w:r>
      <w:r>
        <w:rPr>
          <w:rFonts w:hint="eastAsia" w:ascii="Times New Roman" w:hAnsi="Times New Roman" w:eastAsia="宋体" w:cs="Times New Roman"/>
          <w:b/>
          <w:color w:val="000000" w:themeColor="text1"/>
          <w:spacing w:val="-10"/>
          <w:szCs w:val="21"/>
          <w:lang w:eastAsia="zh-CN"/>
        </w:rPr>
        <w:t>日）。</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公司确定了与质量</w:t>
            </w:r>
            <w:r>
              <w:rPr>
                <w:rFonts w:hint="eastAsia"/>
                <w:sz w:val="21"/>
                <w:szCs w:val="21"/>
                <w:lang w:eastAsia="zh-CN"/>
              </w:rPr>
              <w:t>环境职业健康安全</w:t>
            </w:r>
            <w:r>
              <w:rPr>
                <w:rFonts w:hint="eastAsia"/>
                <w:sz w:val="21"/>
                <w:szCs w:val="21"/>
              </w:rPr>
              <w:t>管理体系有关的相关方包括顾客、政府机构、社区、股东、供应商、内部员工等。相关方对企业的要求有：遵守国家的现行法律法规、保持有效的资质、</w:t>
            </w:r>
            <w:r>
              <w:rPr>
                <w:rFonts w:hint="eastAsia"/>
                <w:sz w:val="21"/>
                <w:szCs w:val="21"/>
                <w:lang w:val="en-US" w:eastAsia="zh-CN"/>
              </w:rPr>
              <w:t>办公服务过程</w:t>
            </w:r>
            <w:r>
              <w:rPr>
                <w:rFonts w:hint="eastAsia"/>
                <w:sz w:val="21"/>
                <w:szCs w:val="21"/>
              </w:rPr>
              <w:t>节能环保，对环境无重大污染、</w:t>
            </w:r>
            <w:r>
              <w:rPr>
                <w:rFonts w:hint="eastAsia"/>
                <w:sz w:val="21"/>
                <w:szCs w:val="21"/>
                <w:lang w:val="en-US" w:eastAsia="zh-CN"/>
              </w:rPr>
              <w:t>对员工进行体检</w:t>
            </w:r>
            <w:r>
              <w:rPr>
                <w:rFonts w:hint="eastAsia"/>
                <w:sz w:val="21"/>
                <w:szCs w:val="21"/>
              </w:rPr>
              <w:t>、不断提高技术水平以及不断提高客户满意度等。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w:t>
            </w:r>
          </w:p>
          <w:p>
            <w:pPr>
              <w:keepNext w:val="0"/>
              <w:keepLines w:val="0"/>
              <w:pageBreakBefore w:val="0"/>
              <w:kinsoku/>
              <w:wordWrap/>
              <w:overflowPunct/>
              <w:topLinePunct w:val="0"/>
              <w:bidi w:val="0"/>
              <w:snapToGrid/>
              <w:spacing w:line="360" w:lineRule="exact"/>
              <w:textAlignment w:val="auto"/>
              <w:rPr>
                <w:rFonts w:hint="eastAsia" w:eastAsia="宋体" w:cs="宋体"/>
                <w:sz w:val="21"/>
                <w:szCs w:val="21"/>
                <w:lang w:val="en-US" w:eastAsia="zh-CN"/>
              </w:rPr>
            </w:pPr>
            <w:r>
              <w:rPr>
                <w:sz w:val="21"/>
                <w:szCs w:val="21"/>
              </w:rPr>
              <w:t>1.</w:t>
            </w:r>
            <w:r>
              <w:rPr>
                <w:rFonts w:hint="eastAsia" w:cs="宋体"/>
                <w:sz w:val="21"/>
                <w:szCs w:val="21"/>
              </w:rPr>
              <w:t>管理方针：</w:t>
            </w:r>
            <w:r>
              <w:rPr>
                <w:rFonts w:hint="eastAsia" w:ascii="Times New Roman" w:hAnsi="Times New Roman" w:cs="宋体"/>
                <w:szCs w:val="22"/>
              </w:rPr>
              <w:t>以稳定品质、完善服务、持续改进、满足顾客需求；以安全生产、保护环境、守法诚信、体现社会责任</w:t>
            </w:r>
            <w:r>
              <w:rPr>
                <w:rFonts w:hint="eastAsia" w:ascii="Times New Roman" w:hAnsi="Times New Roman" w:cs="宋体"/>
                <w:szCs w:val="22"/>
                <w:lang w:val="en-US" w:eastAsia="zh-CN"/>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rFonts w:ascii="宋体" w:hAnsi="宋体"/>
                <w:b/>
                <w:color w:val="000000" w:themeColor="text1"/>
                <w:sz w:val="21"/>
                <w:szCs w:val="21"/>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sz w:val="21"/>
                <w:szCs w:val="21"/>
              </w:rPr>
            </w:pPr>
            <w:r>
              <w:rPr>
                <w:rFonts w:hint="eastAsia"/>
                <w:b/>
                <w:color w:val="000000" w:themeColor="text1"/>
                <w:sz w:val="21"/>
                <w:szCs w:val="21"/>
                <w:lang w:val="en-US" w:eastAsia="zh-CN"/>
              </w:rPr>
              <w:t>4.</w:t>
            </w:r>
            <w:r>
              <w:rPr>
                <w:rFonts w:hint="eastAsia"/>
                <w:b/>
                <w:color w:val="000000" w:themeColor="text1"/>
                <w:sz w:val="21"/>
                <w:szCs w:val="2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default" w:eastAsia="宋体"/>
                <w:b/>
                <w:color w:val="000000" w:themeColor="text1"/>
                <w:sz w:val="21"/>
                <w:szCs w:val="21"/>
                <w:lang w:val="en-US" w:eastAsia="zh-CN"/>
              </w:rPr>
            </w:pPr>
            <w:r>
              <w:rPr>
                <w:rFonts w:hint="eastAsia"/>
                <w:sz w:val="21"/>
                <w:szCs w:val="21"/>
              </w:rPr>
              <w:t>公司</w:t>
            </w:r>
            <w:r>
              <w:rPr>
                <w:rFonts w:hint="eastAsia"/>
                <w:sz w:val="21"/>
                <w:szCs w:val="21"/>
                <w:lang w:val="en-US" w:eastAsia="zh-CN"/>
              </w:rPr>
              <w:t>编制</w:t>
            </w:r>
            <w:r>
              <w:rPr>
                <w:rFonts w:hint="eastAsia"/>
                <w:sz w:val="21"/>
                <w:szCs w:val="21"/>
              </w:rPr>
              <w:t>《</w:t>
            </w:r>
            <w:r>
              <w:rPr>
                <w:rFonts w:ascii="宋体" w:hAnsi="宋体"/>
                <w:kern w:val="0"/>
                <w:sz w:val="21"/>
                <w:szCs w:val="21"/>
              </w:rPr>
              <w:t>应对风险和机遇的措施表</w:t>
            </w:r>
            <w:r>
              <w:rPr>
                <w:rFonts w:hint="eastAsia"/>
                <w:sz w:val="21"/>
                <w:szCs w:val="21"/>
              </w:rPr>
              <w:t>》，公司</w:t>
            </w:r>
            <w:r>
              <w:rPr>
                <w:rFonts w:hint="eastAsia"/>
                <w:sz w:val="21"/>
                <w:szCs w:val="21"/>
                <w:lang w:val="en-US" w:eastAsia="zh-CN"/>
              </w:rPr>
              <w:t>分别从顾客需求、公司内部、适用的法律法规等方面</w:t>
            </w:r>
            <w:r>
              <w:rPr>
                <w:rFonts w:hint="eastAsia"/>
                <w:sz w:val="21"/>
                <w:szCs w:val="21"/>
              </w:rPr>
              <w:t>识别了必要的风险和机遇，如：方针和目标变更的需求，</w:t>
            </w:r>
            <w:r>
              <w:rPr>
                <w:rFonts w:hint="eastAsia"/>
                <w:sz w:val="21"/>
                <w:szCs w:val="21"/>
                <w:lang w:val="en-US" w:eastAsia="zh-CN"/>
              </w:rPr>
              <w:t>顾客需求</w:t>
            </w:r>
            <w:r>
              <w:rPr>
                <w:rFonts w:hint="eastAsia"/>
                <w:sz w:val="21"/>
                <w:szCs w:val="21"/>
              </w:rPr>
              <w:t>变更，</w:t>
            </w:r>
            <w:r>
              <w:rPr>
                <w:rFonts w:hint="eastAsia"/>
                <w:sz w:val="21"/>
                <w:szCs w:val="21"/>
                <w:lang w:val="en-US" w:eastAsia="zh-CN"/>
              </w:rPr>
              <w:t>服务方式变更</w:t>
            </w:r>
            <w:r>
              <w:rPr>
                <w:rFonts w:hint="eastAsia"/>
                <w:sz w:val="21"/>
                <w:szCs w:val="21"/>
                <w:lang w:eastAsia="zh-CN"/>
              </w:rPr>
              <w:t>、</w:t>
            </w:r>
            <w:r>
              <w:rPr>
                <w:rFonts w:hint="eastAsia"/>
                <w:sz w:val="21"/>
                <w:szCs w:val="21"/>
                <w:lang w:val="en-US" w:eastAsia="zh-CN"/>
              </w:rPr>
              <w:t>法律法规变更、外部环境（包括空气 水的变化）</w:t>
            </w:r>
            <w:r>
              <w:rPr>
                <w:rFonts w:hint="eastAsia"/>
                <w:sz w:val="21"/>
                <w:szCs w:val="21"/>
              </w:rPr>
              <w:t>等风险，制定了相应的应对措施，制定了负责的部门和具体的实施方案，需要的资金和日程安排</w:t>
            </w:r>
            <w:r>
              <w:rPr>
                <w:rFonts w:hint="eastAsia"/>
                <w:sz w:val="21"/>
                <w:szCs w:val="21"/>
                <w:lang w:val="en-US" w:eastAsia="zh-CN"/>
              </w:rPr>
              <w:t>等，</w:t>
            </w:r>
            <w:r>
              <w:rPr>
                <w:rFonts w:hint="eastAsia"/>
                <w:sz w:val="21"/>
                <w:szCs w:val="21"/>
              </w:rPr>
              <w:t>如</w:t>
            </w:r>
            <w:r>
              <w:rPr>
                <w:rFonts w:hint="eastAsia"/>
                <w:sz w:val="21"/>
                <w:szCs w:val="21"/>
                <w:lang w:val="en-US" w:eastAsia="zh-CN"/>
              </w:rPr>
              <w:t>风险：</w:t>
            </w:r>
            <w:r>
              <w:rPr>
                <w:rFonts w:hint="eastAsia"/>
                <w:sz w:val="21"/>
                <w:szCs w:val="21"/>
              </w:rPr>
              <w:t>人员流动大，导致人力资源不足或者有能力的人员流失，导致公司知识的流失；机遇：优秀人才来到本公司，将个人知识转化为公司知识</w:t>
            </w:r>
            <w:r>
              <w:rPr>
                <w:rFonts w:hint="eastAsia"/>
                <w:sz w:val="21"/>
                <w:szCs w:val="21"/>
                <w:lang w:eastAsia="zh-CN"/>
              </w:rPr>
              <w:t>，</w:t>
            </w:r>
            <w:r>
              <w:rPr>
                <w:rFonts w:hint="eastAsia"/>
                <w:sz w:val="21"/>
                <w:szCs w:val="21"/>
                <w:lang w:val="en-US" w:eastAsia="zh-CN"/>
              </w:rPr>
              <w:t>制定了</w:t>
            </w:r>
            <w:r>
              <w:rPr>
                <w:rFonts w:hint="eastAsia"/>
                <w:sz w:val="21"/>
                <w:szCs w:val="21"/>
              </w:rPr>
              <w:t>措施：1、建立人力资源保障制度；2、积极参与行业会议，了解最新的行业动态和行业知识，确保公司知识不流失</w:t>
            </w:r>
            <w:r>
              <w:rPr>
                <w:rFonts w:hint="eastAsia"/>
                <w:sz w:val="21"/>
                <w:szCs w:val="21"/>
                <w:lang w:eastAsia="zh-CN"/>
              </w:rPr>
              <w:t>。</w:t>
            </w:r>
            <w:r>
              <w:rPr>
                <w:rFonts w:hint="eastAsia"/>
                <w:sz w:val="21"/>
                <w:szCs w:val="21"/>
                <w:lang w:val="en-US" w:eastAsia="zh-CN"/>
              </w:rPr>
              <w:t>另针对新冠肺炎的影响，进行了策划，制定了复工复产计划、应急预案、防护等措施。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质量管理体系过程有：</w:t>
            </w:r>
            <w:r>
              <w:rPr>
                <w:rFonts w:hint="default" w:ascii="Times New Roman" w:hAnsi="Times New Roman" w:eastAsia="宋体" w:cs="Times New Roman"/>
                <w:sz w:val="21"/>
                <w:szCs w:val="21"/>
              </w:rPr>
              <w:t>外部提供的过程、产品和服务的</w:t>
            </w:r>
            <w:r>
              <w:rPr>
                <w:rFonts w:hint="eastAsia" w:cs="Times New Roman"/>
                <w:sz w:val="21"/>
                <w:szCs w:val="21"/>
                <w:lang w:val="en-US" w:eastAsia="zh-CN"/>
              </w:rPr>
              <w:t>过程；</w:t>
            </w:r>
            <w:r>
              <w:rPr>
                <w:rFonts w:hint="eastAsia" w:ascii="宋体" w:hAnsi="宋体"/>
                <w:sz w:val="21"/>
                <w:szCs w:val="21"/>
                <w:lang w:val="en-US" w:eastAsia="zh-CN"/>
              </w:rPr>
              <w:t>与顾客有关的过程；产品和服务的设计开发；生产和服务提供过程；产品和服务的放行；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hint="eastAsia" w:ascii="宋体" w:hAnsi="宋体" w:eastAsia="宋体"/>
                <w:b/>
                <w:color w:val="000000" w:themeColor="text1"/>
                <w:sz w:val="21"/>
                <w:szCs w:val="21"/>
                <w:u w:val="single"/>
                <w:lang w:eastAsia="zh-CN"/>
              </w:rPr>
            </w:pPr>
            <w:r>
              <w:rPr>
                <w:rFonts w:hint="eastAsia" w:ascii="宋体" w:hAnsi="宋体"/>
                <w:b/>
                <w:color w:val="000000" w:themeColor="text1"/>
                <w:sz w:val="21"/>
                <w:szCs w:val="21"/>
              </w:rPr>
              <w:t>其中关键过程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销售服务</w:t>
            </w:r>
            <w:r>
              <w:rPr>
                <w:rFonts w:hint="eastAsia" w:ascii="宋体" w:hAnsi="宋体"/>
                <w:b w:val="0"/>
                <w:bCs/>
                <w:color w:val="000000" w:themeColor="text1"/>
                <w:sz w:val="21"/>
                <w:szCs w:val="21"/>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u w:val="single"/>
              </w:rPr>
            </w:pPr>
            <w:r>
              <w:rPr>
                <w:rFonts w:hint="eastAsia" w:ascii="宋体" w:hAnsi="宋体"/>
                <w:b/>
                <w:color w:val="000000" w:themeColor="text1"/>
                <w:sz w:val="21"/>
                <w:szCs w:val="21"/>
              </w:rPr>
              <w:t>需要确认过程</w:t>
            </w:r>
            <w:r>
              <w:rPr>
                <w:rFonts w:hint="eastAsia" w:ascii="宋体" w:hAnsi="宋体"/>
                <w:b/>
                <w:color w:val="000000" w:themeColor="text1"/>
                <w:sz w:val="21"/>
                <w:szCs w:val="21"/>
                <w:lang w:eastAsia="zh-CN"/>
              </w:rPr>
              <w:t>：</w:t>
            </w:r>
            <w:r>
              <w:rPr>
                <w:rFonts w:hint="eastAsia" w:ascii="宋体" w:hAnsi="宋体" w:cs="Times New Roman"/>
                <w:sz w:val="21"/>
                <w:szCs w:val="21"/>
                <w:lang w:val="en-US" w:eastAsia="zh-CN"/>
              </w:rPr>
              <w:t>销售服务</w:t>
            </w:r>
            <w:r>
              <w:rPr>
                <w:rFonts w:hint="eastAsia" w:ascii="宋体" w:hAnsi="宋体"/>
                <w:b w:val="0"/>
                <w:bCs/>
                <w:color w:val="000000" w:themeColor="text1"/>
                <w:sz w:val="21"/>
                <w:szCs w:val="21"/>
                <w:lang w:val="en-US" w:eastAsia="zh-CN"/>
              </w:rPr>
              <w:t>，</w:t>
            </w:r>
            <w:r>
              <w:rPr>
                <w:rFonts w:hint="eastAsia" w:ascii="宋体" w:hAnsi="宋体"/>
                <w:b/>
                <w:color w:val="000000" w:themeColor="text1"/>
                <w:sz w:val="21"/>
                <w:szCs w:val="21"/>
              </w:rPr>
              <w:t xml:space="preserve">  </w:t>
            </w:r>
          </w:p>
          <w:p>
            <w:pPr>
              <w:keepNext w:val="0"/>
              <w:keepLines w:val="0"/>
              <w:pageBreakBefore w:val="0"/>
              <w:tabs>
                <w:tab w:val="left" w:pos="540"/>
              </w:tabs>
              <w:kinsoku/>
              <w:wordWrap/>
              <w:overflowPunct/>
              <w:topLinePunct w:val="0"/>
              <w:bidi w:val="0"/>
              <w:snapToGrid/>
              <w:spacing w:line="360" w:lineRule="exact"/>
              <w:ind w:left="201" w:hanging="211" w:hangingChars="100"/>
              <w:textAlignment w:val="auto"/>
              <w:rPr>
                <w:rFonts w:ascii="宋体" w:hAnsi="宋体"/>
                <w:b/>
                <w:color w:val="000000" w:themeColor="text1"/>
                <w:sz w:val="21"/>
                <w:szCs w:val="21"/>
              </w:rPr>
            </w:pPr>
            <w:r>
              <w:rPr>
                <w:rFonts w:hint="eastAsia" w:ascii="宋体" w:hAnsi="宋体"/>
                <w:b/>
                <w:color w:val="000000" w:themeColor="text1"/>
                <w:sz w:val="21"/>
                <w:szCs w:val="21"/>
              </w:rPr>
              <w:t>不适用条款</w:t>
            </w:r>
            <w:r>
              <w:rPr>
                <w:rFonts w:hint="eastAsia" w:ascii="宋体" w:hAnsi="宋体"/>
                <w:b/>
                <w:color w:val="000000" w:themeColor="text1"/>
                <w:sz w:val="21"/>
                <w:szCs w:val="21"/>
                <w:lang w:eastAsia="zh-CN"/>
              </w:rPr>
              <w:t>：</w:t>
            </w:r>
            <w:r>
              <w:rPr>
                <w:rFonts w:hint="eastAsia" w:cs="Times New Roman"/>
                <w:b w:val="0"/>
                <w:bCs/>
                <w:color w:val="000000" w:themeColor="text1"/>
                <w:sz w:val="21"/>
                <w:szCs w:val="21"/>
                <w:lang w:val="en-US" w:eastAsia="zh-CN"/>
              </w:rPr>
              <w:t>无</w:t>
            </w:r>
            <w:r>
              <w:rPr>
                <w:rFonts w:hint="eastAsia" w:ascii="宋体" w:hAnsi="宋体"/>
                <w:b w:val="0"/>
                <w:bCs w:val="0"/>
                <w:color w:val="000000" w:themeColor="text1"/>
                <w:sz w:val="21"/>
                <w:szCs w:val="21"/>
                <w:u w:val="none"/>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ascii="宋体" w:hAnsi="宋体"/>
                <w:sz w:val="21"/>
                <w:szCs w:val="21"/>
                <w:lang w:val="en-US" w:eastAsia="zh-CN"/>
              </w:rPr>
              <w:t>综合部组织全体部门对所涉及的环境因素进行识别，并评价出重要环境因素，提供环境因素评价记录，目前环境因素识别基本完整，评价的重要环境因素有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1"/>
                <w:szCs w:val="21"/>
                <w:lang w:eastAsia="zh-CN"/>
              </w:rPr>
            </w:pPr>
            <w:r>
              <w:rPr>
                <w:rFonts w:hint="eastAsia" w:ascii="宋体" w:hAnsi="宋体"/>
                <w:sz w:val="21"/>
                <w:szCs w:val="21"/>
                <w:lang w:val="en-US" w:eastAsia="zh-CN"/>
              </w:rPr>
              <w:t>综合部组织全体部门对所涉及的危险源进行识别，并评价出重大危险源，提供重大危险源评价记录，目前危险源识别基本完整，评价的</w:t>
            </w:r>
            <w:r>
              <w:rPr>
                <w:rFonts w:hint="eastAsia"/>
                <w:sz w:val="21"/>
                <w:szCs w:val="21"/>
              </w:rPr>
              <w:t>不可接受风险</w:t>
            </w:r>
            <w:r>
              <w:rPr>
                <w:rFonts w:hint="eastAsia"/>
                <w:sz w:val="21"/>
                <w:szCs w:val="21"/>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8</w:t>
            </w:r>
            <w:r>
              <w:rPr>
                <w:rFonts w:hint="eastAsia"/>
                <w:b/>
                <w:color w:val="000000" w:themeColor="text1"/>
                <w:sz w:val="21"/>
                <w:szCs w:val="21"/>
              </w:rPr>
              <w:t xml:space="preserve">. </w:t>
            </w:r>
            <w:r>
              <w:rPr>
                <w:rFonts w:hint="eastAsia" w:ascii="宋体" w:hAnsi="宋体"/>
                <w:b/>
                <w:color w:val="000000" w:themeColor="text1"/>
                <w:spacing w:val="-4"/>
                <w:sz w:val="21"/>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u w:val="single"/>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环境因素</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 w:val="21"/>
                <w:szCs w:val="21"/>
              </w:rPr>
            </w:pPr>
            <w:r>
              <w:rPr>
                <w:rFonts w:hint="eastAsia" w:ascii="宋体" w:hAnsi="宋体"/>
                <w:b/>
                <w:color w:val="000000" w:themeColor="text1"/>
                <w:sz w:val="21"/>
                <w:szCs w:val="21"/>
              </w:rPr>
              <w:t>法律法规的宣传方式：</w:t>
            </w:r>
            <w:r>
              <w:rPr>
                <w:rFonts w:hint="eastAsia" w:ascii="宋体" w:hAnsi="宋体"/>
                <w:b/>
                <w:color w:val="000000" w:themeColor="text1"/>
                <w:sz w:val="2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9</w:t>
            </w:r>
            <w:r>
              <w:rPr>
                <w:rFonts w:hint="eastAsia"/>
                <w:b/>
                <w:color w:val="000000" w:themeColor="text1"/>
                <w:sz w:val="21"/>
                <w:szCs w:val="21"/>
              </w:rPr>
              <w:t xml:space="preserve">. </w:t>
            </w:r>
            <w:r>
              <w:rPr>
                <w:rFonts w:hint="eastAsia" w:ascii="宋体" w:hAnsi="宋体"/>
                <w:b/>
                <w:color w:val="000000" w:themeColor="text1"/>
                <w:sz w:val="21"/>
                <w:szCs w:val="21"/>
              </w:rPr>
              <w:t>目标、方案</w:t>
            </w: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sz w:val="21"/>
                <w:szCs w:val="21"/>
                <w:lang w:eastAsia="zh-CN"/>
              </w:rPr>
            </w:pPr>
            <w:r>
              <w:rPr>
                <w:rFonts w:hint="eastAsia" w:ascii="Times New Roman" w:hAnsi="Times New Roman" w:cs="宋体"/>
                <w:sz w:val="21"/>
                <w:szCs w:val="21"/>
              </w:rPr>
              <w:t>公司</w:t>
            </w:r>
            <w:r>
              <w:rPr>
                <w:rFonts w:hint="eastAsia" w:cs="宋体"/>
                <w:sz w:val="21"/>
                <w:szCs w:val="21"/>
              </w:rPr>
              <w:t>目标</w:t>
            </w:r>
            <w:r>
              <w:rPr>
                <w:rFonts w:hint="eastAsia" w:cs="宋体"/>
                <w:sz w:val="21"/>
                <w:szCs w:val="21"/>
                <w:lang w:eastAsia="zh-CN"/>
              </w:rPr>
              <w:t>：</w:t>
            </w:r>
            <w:r>
              <w:rPr>
                <w:rFonts w:hint="eastAsia" w:cs="宋体"/>
                <w:szCs w:val="22"/>
                <w:lang w:val="en-US" w:eastAsia="zh-CN"/>
              </w:rPr>
              <w:t>1、合同履行率100%；2</w:t>
            </w:r>
            <w:r>
              <w:rPr>
                <w:rFonts w:hint="eastAsia" w:ascii="Times New Roman" w:hAnsi="Times New Roman" w:cs="宋体"/>
                <w:szCs w:val="22"/>
              </w:rPr>
              <w:t>、顾客满意率≥95%；</w:t>
            </w:r>
            <w:r>
              <w:rPr>
                <w:rFonts w:hint="eastAsia" w:cs="宋体"/>
                <w:szCs w:val="22"/>
                <w:lang w:val="en-US" w:eastAsia="zh-CN"/>
              </w:rPr>
              <w:t>3</w:t>
            </w:r>
            <w:r>
              <w:rPr>
                <w:rFonts w:hint="eastAsia" w:ascii="Times New Roman" w:hAnsi="Times New Roman" w:cs="宋体"/>
                <w:szCs w:val="22"/>
              </w:rPr>
              <w:t>、供方评定率100%</w:t>
            </w:r>
            <w:r>
              <w:rPr>
                <w:rFonts w:hint="eastAsia" w:cs="宋体"/>
                <w:szCs w:val="22"/>
                <w:lang w:eastAsia="zh-CN"/>
              </w:rPr>
              <w:t>；</w:t>
            </w:r>
            <w:r>
              <w:rPr>
                <w:rFonts w:hint="eastAsia" w:cs="宋体"/>
                <w:szCs w:val="22"/>
                <w:lang w:val="en-US" w:eastAsia="zh-CN"/>
              </w:rPr>
              <w:t>4</w:t>
            </w:r>
            <w:r>
              <w:rPr>
                <w:rFonts w:hint="eastAsia" w:ascii="Times New Roman" w:hAnsi="Times New Roman" w:cs="宋体"/>
                <w:szCs w:val="22"/>
              </w:rPr>
              <w:t>、项目验收合格率达到100%</w:t>
            </w:r>
            <w:r>
              <w:rPr>
                <w:rFonts w:hint="eastAsia" w:ascii="Times New Roman" w:hAnsi="Times New Roman" w:cs="宋体"/>
                <w:szCs w:val="22"/>
                <w:lang w:eastAsia="zh-CN"/>
              </w:rPr>
              <w:t>；</w:t>
            </w:r>
            <w:r>
              <w:rPr>
                <w:rFonts w:hint="eastAsia" w:cs="宋体"/>
                <w:szCs w:val="22"/>
                <w:lang w:val="en-US" w:eastAsia="zh-CN"/>
              </w:rPr>
              <w:t>5</w:t>
            </w:r>
            <w:r>
              <w:rPr>
                <w:rFonts w:hint="eastAsia" w:ascii="Times New Roman" w:hAnsi="Times New Roman" w:cs="宋体"/>
                <w:szCs w:val="22"/>
              </w:rPr>
              <w:t>、固废分类收集，合规处置率100%；</w:t>
            </w:r>
            <w:r>
              <w:rPr>
                <w:rFonts w:hint="eastAsia" w:cs="宋体"/>
                <w:szCs w:val="22"/>
                <w:lang w:val="en-US" w:eastAsia="zh-CN"/>
              </w:rPr>
              <w:t>6</w:t>
            </w:r>
            <w:r>
              <w:rPr>
                <w:rFonts w:hint="eastAsia" w:ascii="Times New Roman" w:hAnsi="Times New Roman" w:cs="宋体"/>
                <w:szCs w:val="22"/>
              </w:rPr>
              <w:t>、全年火灾事故发生率为“0”；</w:t>
            </w:r>
            <w:r>
              <w:rPr>
                <w:rFonts w:hint="eastAsia" w:cs="宋体"/>
                <w:szCs w:val="22"/>
                <w:lang w:val="en-US" w:eastAsia="zh-CN"/>
              </w:rPr>
              <w:t>7</w:t>
            </w:r>
            <w:r>
              <w:rPr>
                <w:rFonts w:hint="eastAsia" w:ascii="Times New Roman" w:hAnsi="Times New Roman" w:cs="宋体"/>
                <w:szCs w:val="22"/>
              </w:rPr>
              <w:t>、环境、职业健康安全资金保证率100%</w:t>
            </w:r>
            <w:r>
              <w:rPr>
                <w:rFonts w:hint="eastAsia" w:ascii="Times New Roman" w:hAnsi="Times New Roman" w:cs="宋体"/>
                <w:szCs w:val="22"/>
                <w:lang w:eastAsia="zh-CN"/>
              </w:rPr>
              <w:t>；</w:t>
            </w:r>
            <w:r>
              <w:rPr>
                <w:rFonts w:hint="eastAsia" w:cs="宋体"/>
                <w:szCs w:val="22"/>
                <w:lang w:val="en-US" w:eastAsia="zh-CN"/>
              </w:rPr>
              <w:t>8</w:t>
            </w:r>
            <w:r>
              <w:rPr>
                <w:rFonts w:hint="eastAsia" w:ascii="Times New Roman" w:hAnsi="Times New Roman" w:cs="宋体"/>
                <w:szCs w:val="22"/>
              </w:rPr>
              <w:t>、人全年触电伤害事故发生率为“0”</w:t>
            </w:r>
            <w:r>
              <w:rPr>
                <w:rFonts w:hint="eastAsia" w:cs="宋体"/>
                <w:szCs w:val="22"/>
                <w:lang w:eastAsia="zh-CN"/>
              </w:rPr>
              <w:t>；</w:t>
            </w:r>
            <w:r>
              <w:rPr>
                <w:rFonts w:hint="eastAsia" w:cs="宋体"/>
                <w:szCs w:val="22"/>
                <w:lang w:val="en-US" w:eastAsia="zh-CN"/>
              </w:rPr>
              <w:t>9、重大安全事故的发生为零</w:t>
            </w:r>
            <w:r>
              <w:rPr>
                <w:rFonts w:hint="eastAsia" w:cs="宋体"/>
                <w:sz w:val="21"/>
                <w:szCs w:val="21"/>
              </w:rPr>
              <w:t>。</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提供了文件化可分解的目标</w:t>
            </w:r>
            <w:r>
              <w:rPr>
                <w:rFonts w:hint="eastAsia" w:ascii="Times New Roman" w:hAnsi="Times New Roman" w:cs="宋体"/>
                <w:sz w:val="21"/>
                <w:szCs w:val="21"/>
                <w:lang w:eastAsia="zh-CN"/>
              </w:rPr>
              <w:t>、指标</w:t>
            </w:r>
            <w:r>
              <w:rPr>
                <w:rFonts w:hint="eastAsia" w:ascii="Times New Roman" w:hAnsi="Times New Roman" w:cs="宋体"/>
                <w:sz w:val="21"/>
                <w:szCs w:val="21"/>
              </w:rPr>
              <w:t>，经查问分解到各部门，经查阅建立的</w:t>
            </w:r>
            <w:r>
              <w:rPr>
                <w:rFonts w:hint="eastAsia" w:ascii="Times New Roman" w:hAnsi="Times New Roman" w:cs="宋体"/>
                <w:sz w:val="21"/>
                <w:szCs w:val="21"/>
                <w:lang w:eastAsia="zh-CN"/>
              </w:rPr>
              <w:t>管理</w:t>
            </w:r>
            <w:r>
              <w:rPr>
                <w:rFonts w:hint="eastAsia" w:ascii="Times New Roman" w:hAnsi="Times New Roman" w:cs="宋体"/>
                <w:sz w:val="21"/>
                <w:szCs w:val="21"/>
              </w:rPr>
              <w:t>目标符合标准要求，在方针的框架下展开，每</w:t>
            </w:r>
            <w:r>
              <w:rPr>
                <w:rFonts w:hint="eastAsia" w:ascii="Times New Roman" w:hAnsi="Times New Roman" w:cs="宋体"/>
                <w:sz w:val="21"/>
                <w:szCs w:val="21"/>
                <w:lang w:val="en-US" w:eastAsia="zh-CN"/>
              </w:rPr>
              <w:t>季度</w:t>
            </w:r>
            <w:r>
              <w:rPr>
                <w:rFonts w:hint="eastAsia" w:ascii="Times New Roman" w:hAnsi="Times New Roman" w:cs="宋体"/>
                <w:sz w:val="21"/>
                <w:szCs w:val="21"/>
              </w:rPr>
              <w:t>考核一次，提供</w:t>
            </w:r>
            <w:r>
              <w:rPr>
                <w:rFonts w:hint="eastAsia" w:ascii="Times New Roman" w:hAnsi="Times New Roman" w:cs="宋体"/>
                <w:sz w:val="21"/>
                <w:szCs w:val="21"/>
                <w:lang w:val="en-US" w:eastAsia="zh-CN"/>
              </w:rPr>
              <w:t>20</w:t>
            </w:r>
            <w:r>
              <w:rPr>
                <w:rFonts w:hint="eastAsia" w:cs="宋体"/>
                <w:sz w:val="21"/>
                <w:szCs w:val="21"/>
                <w:lang w:val="en-US" w:eastAsia="zh-CN"/>
              </w:rPr>
              <w:t>20</w:t>
            </w:r>
            <w:r>
              <w:rPr>
                <w:rFonts w:hint="eastAsia" w:ascii="Times New Roman" w:hAnsi="Times New Roman" w:cs="宋体"/>
                <w:sz w:val="21"/>
                <w:szCs w:val="21"/>
                <w:lang w:val="en-US" w:eastAsia="zh-CN"/>
              </w:rPr>
              <w:t>年</w:t>
            </w:r>
            <w:r>
              <w:rPr>
                <w:rFonts w:hint="eastAsia" w:cs="宋体"/>
                <w:sz w:val="21"/>
                <w:szCs w:val="21"/>
                <w:lang w:val="en-US" w:eastAsia="zh-CN"/>
              </w:rPr>
              <w:t>3-4</w:t>
            </w:r>
            <w:r>
              <w:rPr>
                <w:rFonts w:hint="eastAsia" w:ascii="Times New Roman" w:hAnsi="Times New Roman" w:cs="宋体"/>
                <w:sz w:val="21"/>
                <w:szCs w:val="21"/>
                <w:lang w:val="en-US" w:eastAsia="zh-CN"/>
              </w:rPr>
              <w:t>季度目标考核记录</w:t>
            </w:r>
            <w:r>
              <w:rPr>
                <w:rFonts w:hint="eastAsia" w:ascii="Times New Roman" w:hAnsi="Times New Roman" w:cs="宋体"/>
                <w:sz w:val="21"/>
                <w:szCs w:val="21"/>
              </w:rPr>
              <w:t>，</w:t>
            </w:r>
            <w:r>
              <w:rPr>
                <w:rFonts w:hint="eastAsia" w:ascii="Times New Roman" w:hAnsi="Times New Roman"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b/>
                <w:color w:val="000000" w:themeColor="text1"/>
                <w:sz w:val="21"/>
                <w:szCs w:val="21"/>
                <w:lang w:val="en-US" w:eastAsia="zh-CN"/>
              </w:rPr>
              <w:t>10</w:t>
            </w:r>
            <w:r>
              <w:rPr>
                <w:rFonts w:hint="eastAsia"/>
                <w:b/>
                <w:color w:val="000000" w:themeColor="text1"/>
                <w:sz w:val="21"/>
                <w:szCs w:val="21"/>
              </w:rPr>
              <w:t>.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Times New Roman" w:hAnsi="Times New Roman" w:cs="宋体"/>
                <w:sz w:val="21"/>
                <w:szCs w:val="21"/>
              </w:rPr>
              <w:t>管理体系文件由</w:t>
            </w:r>
            <w:r>
              <w:rPr>
                <w:rFonts w:hint="eastAsia" w:cs="宋体"/>
                <w:sz w:val="21"/>
                <w:szCs w:val="21"/>
                <w:lang w:val="en-US" w:eastAsia="zh-CN"/>
              </w:rPr>
              <w:t>综合部</w:t>
            </w:r>
            <w:r>
              <w:rPr>
                <w:rFonts w:hint="eastAsia" w:ascii="Times New Roman" w:hAnsi="Times New Roman" w:cs="宋体"/>
                <w:sz w:val="21"/>
                <w:szCs w:val="21"/>
              </w:rPr>
              <w:t>组织编写，总经理批准发布实施，</w:t>
            </w:r>
            <w:r>
              <w:rPr>
                <w:rFonts w:hint="eastAsia" w:cs="宋体"/>
                <w:sz w:val="21"/>
                <w:szCs w:val="21"/>
                <w:lang w:val="en-US" w:eastAsia="zh-CN"/>
              </w:rPr>
              <w:t>综合部</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打印传阅，公司文件柜存放，电子版本在电脑桌机的桌面上，每个人均可查阅。外来文件电子版本在电脑桌机的桌面上，每个人均可查阅。记录管理：</w:t>
            </w:r>
            <w:r>
              <w:rPr>
                <w:rFonts w:hint="eastAsia" w:cs="宋体"/>
                <w:sz w:val="21"/>
                <w:szCs w:val="21"/>
                <w:lang w:val="en-US" w:eastAsia="zh-CN"/>
              </w:rPr>
              <w:t>综合部</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cs="宋体"/>
                <w:sz w:val="21"/>
                <w:szCs w:val="21"/>
                <w:lang w:val="en-US" w:eastAsia="zh-CN"/>
              </w:rPr>
              <w:t>综合部</w:t>
            </w:r>
            <w:r>
              <w:rPr>
                <w:rFonts w:hint="eastAsia" w:ascii="Times New Roman" w:hAnsi="Times New Roman"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公司共有员工</w:t>
            </w:r>
            <w:r>
              <w:rPr>
                <w:rFonts w:hint="eastAsia"/>
                <w:sz w:val="21"/>
                <w:szCs w:val="21"/>
                <w:lang w:val="en-US" w:eastAsia="zh-CN"/>
              </w:rPr>
              <w:t>19</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施：服务器、计算机、打印机、排队机、呼叫器平板、</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22" w:name="生产地址"/>
            <w:r>
              <w:rPr>
                <w:rFonts w:asciiTheme="minorEastAsia" w:hAnsiTheme="minorEastAsia" w:eastAsiaTheme="minorEastAsia"/>
                <w:b w:val="0"/>
                <w:bCs w:val="0"/>
                <w:sz w:val="20"/>
              </w:rPr>
              <w:t>四川省成都市高新区天益街38号理想中心3栋1708号</w:t>
            </w:r>
            <w:bookmarkEnd w:id="22"/>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300平米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1"/>
                <w:szCs w:val="21"/>
              </w:rPr>
            </w:pPr>
            <w:r>
              <w:rPr>
                <w:rFonts w:hint="eastAsia"/>
                <w:lang w:val="en-US" w:eastAsia="zh-CN"/>
              </w:rPr>
              <w:t>无</w:t>
            </w:r>
            <w:r>
              <w:rPr>
                <w:rFonts w:hint="eastAsia"/>
              </w:rPr>
              <w:t>检测设备</w:t>
            </w:r>
            <w:r>
              <w:rPr>
                <w:rFonts w:hint="eastAsia"/>
                <w:lang w:eastAsia="zh-CN"/>
              </w:rPr>
              <w:t>，</w:t>
            </w:r>
            <w:r>
              <w:rPr>
                <w:rFonts w:hint="eastAsia"/>
                <w:lang w:val="en-US" w:eastAsia="zh-CN"/>
              </w:rPr>
              <w:t>只</w:t>
            </w:r>
            <w:r>
              <w:rPr>
                <w:rFonts w:hint="eastAsia"/>
                <w:sz w:val="21"/>
                <w:szCs w:val="21"/>
                <w:lang w:eastAsia="zh-CN"/>
              </w:rPr>
              <w:t>组织对服务质量进行检查、对顾客满意度进行调查，制定了对应表格</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1"/>
                <w:szCs w:val="21"/>
              </w:rPr>
            </w:pP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1"/>
                <w:szCs w:val="21"/>
                <w:lang w:eastAsia="zh-CN"/>
              </w:rPr>
            </w:pPr>
            <w:r>
              <w:rPr>
                <w:rFonts w:hint="eastAsia"/>
                <w:sz w:val="21"/>
                <w:szCs w:val="21"/>
              </w:rPr>
              <w:t>公司对法律法规及其他要求进行了获取，包括产品质量法、合同法、</w:t>
            </w:r>
            <w:r>
              <w:rPr>
                <w:rFonts w:hint="eastAsia"/>
                <w:sz w:val="21"/>
                <w:szCs w:val="21"/>
                <w:lang w:eastAsia="zh-CN"/>
              </w:rPr>
              <w:t>标准化法、招标投标</w:t>
            </w:r>
            <w:r>
              <w:rPr>
                <w:rFonts w:hint="eastAsia"/>
                <w:sz w:val="21"/>
                <w:szCs w:val="21"/>
              </w:rPr>
              <w:t>法</w:t>
            </w:r>
            <w:r>
              <w:rPr>
                <w:rFonts w:hint="eastAsia"/>
                <w:sz w:val="21"/>
                <w:szCs w:val="21"/>
                <w:lang w:eastAsia="zh-CN"/>
              </w:rPr>
              <w:t>、</w:t>
            </w:r>
            <w:r>
              <w:rPr>
                <w:rFonts w:hint="eastAsia"/>
                <w:sz w:val="21"/>
                <w:szCs w:val="21"/>
                <w:lang w:val="en-US" w:eastAsia="zh-CN"/>
              </w:rPr>
              <w:t>劳动法、</w:t>
            </w:r>
            <w:r>
              <w:rPr>
                <w:rFonts w:hint="eastAsia"/>
                <w:sz w:val="21"/>
                <w:szCs w:val="21"/>
              </w:rPr>
              <w:t>GB/T 9386-2008</w:t>
            </w:r>
            <w:r>
              <w:rPr>
                <w:rFonts w:hint="eastAsia"/>
                <w:sz w:val="21"/>
                <w:szCs w:val="21"/>
                <w:lang w:eastAsia="zh-CN"/>
              </w:rPr>
              <w:t>《</w:t>
            </w:r>
            <w:r>
              <w:rPr>
                <w:rFonts w:hint="eastAsia"/>
                <w:sz w:val="21"/>
                <w:szCs w:val="21"/>
              </w:rPr>
              <w:t>计算机软件测试文档编制规范</w:t>
            </w:r>
            <w:r>
              <w:rPr>
                <w:rFonts w:hint="eastAsia"/>
                <w:sz w:val="21"/>
                <w:szCs w:val="21"/>
                <w:lang w:eastAsia="zh-CN"/>
              </w:rPr>
              <w:t>》、</w:t>
            </w:r>
            <w:r>
              <w:rPr>
                <w:rFonts w:hint="eastAsia"/>
                <w:sz w:val="21"/>
                <w:szCs w:val="21"/>
              </w:rPr>
              <w:t>GB/T 26327-2010</w:t>
            </w:r>
            <w:r>
              <w:rPr>
                <w:rFonts w:hint="eastAsia"/>
                <w:sz w:val="21"/>
                <w:szCs w:val="21"/>
                <w:lang w:eastAsia="zh-CN"/>
              </w:rPr>
              <w:t>《</w:t>
            </w:r>
            <w:r>
              <w:rPr>
                <w:rFonts w:hint="eastAsia"/>
                <w:sz w:val="21"/>
                <w:szCs w:val="21"/>
              </w:rPr>
              <w:t>企业信息化系统集成实施指南</w:t>
            </w:r>
            <w:r>
              <w:rPr>
                <w:rFonts w:hint="eastAsia"/>
                <w:sz w:val="21"/>
                <w:szCs w:val="21"/>
                <w:lang w:eastAsia="zh-CN"/>
              </w:rPr>
              <w:t>》、</w:t>
            </w:r>
            <w:r>
              <w:rPr>
                <w:rFonts w:hint="eastAsia"/>
                <w:sz w:val="21"/>
                <w:szCs w:val="21"/>
              </w:rPr>
              <w:t>GB 50312-2007</w:t>
            </w:r>
            <w:r>
              <w:rPr>
                <w:rFonts w:hint="eastAsia"/>
                <w:sz w:val="21"/>
                <w:szCs w:val="21"/>
                <w:lang w:eastAsia="zh-CN"/>
              </w:rPr>
              <w:t>《</w:t>
            </w:r>
            <w:r>
              <w:rPr>
                <w:rFonts w:hint="eastAsia"/>
                <w:sz w:val="21"/>
                <w:szCs w:val="21"/>
              </w:rPr>
              <w:t>综合布线系统工程设计与施工</w:t>
            </w:r>
            <w:r>
              <w:rPr>
                <w:rFonts w:hint="eastAsia"/>
                <w:sz w:val="21"/>
                <w:szCs w:val="21"/>
                <w:lang w:eastAsia="zh-CN"/>
              </w:rPr>
              <w:t>》、</w:t>
            </w:r>
            <w:r>
              <w:rPr>
                <w:rFonts w:hint="eastAsia"/>
                <w:sz w:val="21"/>
                <w:szCs w:val="21"/>
              </w:rPr>
              <w:t>GB/T8567</w:t>
            </w:r>
            <w:r>
              <w:rPr>
                <w:rFonts w:hint="eastAsia"/>
                <w:sz w:val="21"/>
                <w:szCs w:val="21"/>
                <w:lang w:val="en-US" w:eastAsia="zh-CN"/>
              </w:rPr>
              <w:t>-</w:t>
            </w:r>
            <w:r>
              <w:rPr>
                <w:rFonts w:hint="eastAsia"/>
                <w:sz w:val="21"/>
                <w:szCs w:val="21"/>
              </w:rPr>
              <w:t>2006</w:t>
            </w:r>
            <w:r>
              <w:rPr>
                <w:rFonts w:hint="eastAsia"/>
                <w:sz w:val="21"/>
                <w:szCs w:val="21"/>
                <w:lang w:eastAsia="zh-CN"/>
              </w:rPr>
              <w:t>《</w:t>
            </w:r>
            <w:r>
              <w:rPr>
                <w:rFonts w:hint="eastAsia"/>
                <w:sz w:val="21"/>
                <w:szCs w:val="21"/>
              </w:rPr>
              <w:t>综合布线系统工程验收规范</w:t>
            </w:r>
            <w:r>
              <w:rPr>
                <w:rFonts w:hint="eastAsia"/>
                <w:sz w:val="21"/>
                <w:szCs w:val="21"/>
                <w:lang w:eastAsia="zh-CN"/>
              </w:rPr>
              <w:t>》</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w:t>
            </w:r>
            <w:r>
              <w:rPr>
                <w:rFonts w:hint="eastAsia"/>
                <w:sz w:val="21"/>
                <w:szCs w:val="21"/>
                <w:lang w:val="en-US" w:eastAsia="zh-CN"/>
              </w:rPr>
              <w:t>GB/T45001-2020</w:t>
            </w:r>
            <w:r>
              <w:rPr>
                <w:rFonts w:hint="eastAsia"/>
                <w:sz w:val="21"/>
                <w:szCs w:val="21"/>
              </w:rPr>
              <w:t>《职业健康安全管理体系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rPr>
              <w:t>环保设施：</w:t>
            </w:r>
            <w:r>
              <w:rPr>
                <w:rFonts w:hint="eastAsia" w:ascii="宋体" w:hAnsi="宋体"/>
                <w:b/>
                <w:color w:val="000000" w:themeColor="text1"/>
                <w:sz w:val="21"/>
                <w:szCs w:val="21"/>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ind w:left="0" w:leftChars="0" w:firstLine="0" w:firstLineChars="0"/>
              <w:textAlignment w:val="auto"/>
              <w:rPr>
                <w:rFonts w:hint="default" w:ascii="宋体" w:hAnsi="宋体" w:eastAsia="宋体"/>
                <w:b/>
                <w:color w:val="000000" w:themeColor="text1"/>
                <w:sz w:val="21"/>
                <w:szCs w:val="21"/>
                <w:lang w:val="en-US" w:eastAsia="zh-CN"/>
              </w:rPr>
            </w:pPr>
            <w:r>
              <w:rPr>
                <w:rFonts w:hint="eastAsia" w:ascii="宋体" w:hAnsi="宋体"/>
                <w:b/>
                <w:color w:val="000000" w:themeColor="text1"/>
                <w:sz w:val="21"/>
                <w:szCs w:val="21"/>
              </w:rPr>
              <w:t>职业健康安全设施：</w:t>
            </w:r>
            <w:r>
              <w:rPr>
                <w:rFonts w:hint="eastAsia" w:ascii="宋体" w:hAnsi="宋体"/>
                <w:b/>
                <w:color w:val="000000" w:themeColor="text1"/>
                <w:sz w:val="21"/>
                <w:szCs w:val="21"/>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 针对方针的管理职责评审（包括针对组织宗旨，制定相关管理方针政策、确保方针为员工理解并在运营中实施，监视方针的实施并评审方针的适宜性）</w:t>
            </w:r>
          </w:p>
          <w:p>
            <w:pPr>
              <w:rPr>
                <w:rFonts w:hint="eastAsia" w:eastAsia="宋体"/>
                <w:sz w:val="21"/>
                <w:szCs w:val="21"/>
                <w:lang w:eastAsia="zh-CN"/>
              </w:rPr>
            </w:pPr>
            <w:r>
              <w:rPr>
                <w:rFonts w:hint="eastAsia" w:cs="宋体"/>
                <w:sz w:val="21"/>
                <w:szCs w:val="21"/>
                <w:lang w:val="en-US" w:eastAsia="zh-CN"/>
              </w:rPr>
              <w:t>1.</w:t>
            </w:r>
            <w:r>
              <w:rPr>
                <w:rFonts w:hint="eastAsia" w:cs="宋体"/>
                <w:sz w:val="21"/>
                <w:szCs w:val="21"/>
              </w:rPr>
              <w:t>管理方针：</w:t>
            </w:r>
            <w:r>
              <w:rPr>
                <w:rFonts w:hint="eastAsia" w:ascii="Times New Roman" w:hAnsi="Times New Roman" w:cs="宋体"/>
                <w:szCs w:val="22"/>
              </w:rPr>
              <w:t>以稳定品质、完善服务、持续改进、满足顾客需求；以安全生产、保护环境、守法诚信、体现社会责任</w:t>
            </w:r>
            <w:r>
              <w:rPr>
                <w:rFonts w:hint="eastAsia" w:cs="宋体"/>
                <w:sz w:val="21"/>
                <w:szCs w:val="21"/>
              </w:rPr>
              <w:t>。</w:t>
            </w:r>
          </w:p>
          <w:p>
            <w:pPr>
              <w:keepNext w:val="0"/>
              <w:keepLines w:val="0"/>
              <w:pageBreakBefore w:val="0"/>
              <w:kinsoku/>
              <w:wordWrap/>
              <w:overflowPunct/>
              <w:topLinePunct w:val="0"/>
              <w:bidi w:val="0"/>
              <w:snapToGrid/>
              <w:spacing w:line="360" w:lineRule="exact"/>
              <w:textAlignment w:val="auto"/>
              <w:rPr>
                <w:sz w:val="21"/>
                <w:szCs w:val="21"/>
              </w:rPr>
            </w:pPr>
            <w:r>
              <w:rPr>
                <w:sz w:val="21"/>
                <w:szCs w:val="21"/>
              </w:rPr>
              <w:t xml:space="preserve">2. </w:t>
            </w:r>
            <w:r>
              <w:rPr>
                <w:rFonts w:hint="eastAsia" w:cs="宋体"/>
                <w:sz w:val="21"/>
                <w:szCs w:val="21"/>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1"/>
                <w:szCs w:val="21"/>
              </w:rPr>
            </w:pPr>
            <w:r>
              <w:rPr>
                <w:sz w:val="21"/>
                <w:szCs w:val="21"/>
              </w:rPr>
              <w:t xml:space="preserve">3. </w:t>
            </w:r>
            <w:r>
              <w:rPr>
                <w:rFonts w:hint="eastAsia" w:cs="宋体"/>
                <w:sz w:val="21"/>
                <w:szCs w:val="21"/>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159" w:hanging="167" w:hangingChars="79"/>
              <w:textAlignment w:val="auto"/>
              <w:rPr>
                <w:rFonts w:ascii="楷体_GB2312" w:eastAsia="楷体_GB2312"/>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sz w:val="21"/>
                <w:szCs w:val="21"/>
              </w:rPr>
              <w:t>文件、会议、电话、</w:t>
            </w:r>
            <w:r>
              <w:rPr>
                <w:rFonts w:hint="eastAsia" w:ascii="宋体" w:hAnsi="宋体"/>
                <w:sz w:val="21"/>
                <w:szCs w:val="21"/>
                <w:lang w:val="en-US" w:eastAsia="zh-CN"/>
              </w:rPr>
              <w:t>网络、</w:t>
            </w:r>
            <w:r>
              <w:rPr>
                <w:rFonts w:hint="eastAsia" w:ascii="宋体" w:hAnsi="宋体"/>
                <w:sz w:val="21"/>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Times New Roman"/>
                <w:sz w:val="21"/>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楷体_GB2312" w:eastAsia="楷体_GB2312"/>
                <w:b/>
                <w:color w:val="000000" w:themeColor="text1"/>
                <w:sz w:val="21"/>
                <w:szCs w:val="21"/>
                <w:lang w:val="en-US" w:eastAsia="zh-CN"/>
              </w:rPr>
              <w:t>与</w:t>
            </w:r>
            <w:r>
              <w:rPr>
                <w:rFonts w:hint="eastAsia" w:ascii="宋体" w:hAnsi="宋体"/>
                <w:sz w:val="21"/>
                <w:szCs w:val="21"/>
              </w:rPr>
              <w:t>上级主管部门的沟通，目前沟通都较为顺畅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宋体" w:hAnsi="宋体"/>
                <w:sz w:val="21"/>
                <w:szCs w:val="21"/>
              </w:rPr>
              <w:t>外部沟通：文件、</w:t>
            </w:r>
            <w:r>
              <w:rPr>
                <w:rFonts w:hint="eastAsia" w:ascii="宋体" w:hAnsi="宋体"/>
                <w:sz w:val="21"/>
                <w:szCs w:val="21"/>
                <w:lang w:val="en-US" w:eastAsia="zh-CN"/>
              </w:rPr>
              <w:t>会议、</w:t>
            </w:r>
            <w:r>
              <w:rPr>
                <w:rFonts w:hint="eastAsia" w:ascii="宋体" w:hAnsi="宋体"/>
                <w:sz w:val="21"/>
                <w:szCs w:val="21"/>
              </w:rPr>
              <w:t>电话、面谈、</w:t>
            </w:r>
            <w:r>
              <w:rPr>
                <w:rFonts w:hint="eastAsia" w:ascii="宋体" w:hAnsi="宋体"/>
                <w:sz w:val="21"/>
                <w:szCs w:val="21"/>
                <w:lang w:val="en-US" w:eastAsia="zh-CN"/>
              </w:rPr>
              <w:t>网络</w:t>
            </w:r>
            <w:r>
              <w:rPr>
                <w:rFonts w:hint="eastAsia" w:ascii="宋体" w:hAnsi="宋体"/>
                <w:sz w:val="21"/>
                <w:szCs w:val="21"/>
              </w:rPr>
              <w:t>等，主要与顾客、供方、上级主管部门的沟通，目前各项沟通都较为顺畅</w:t>
            </w:r>
            <w:r>
              <w:rPr>
                <w:rFonts w:hint="eastAsia" w:ascii="宋体" w:hAnsi="宋体"/>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QMS 组织对重要过程实施控制的结果</w:t>
            </w:r>
          </w:p>
          <w:p>
            <w:pPr>
              <w:keepNext w:val="0"/>
              <w:keepLines w:val="0"/>
              <w:pageBreakBefore w:val="0"/>
              <w:kinsoku/>
              <w:wordWrap/>
              <w:overflowPunct/>
              <w:topLinePunct w:val="0"/>
              <w:bidi w:val="0"/>
              <w:snapToGrid/>
              <w:spacing w:line="360" w:lineRule="exact"/>
              <w:ind w:left="193" w:leftChars="42" w:hanging="105" w:hangingChars="50"/>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(包括对QMS关键工序(过程)、特殊过程控制</w:t>
            </w:r>
            <w:r>
              <w:rPr>
                <w:rFonts w:hint="default" w:ascii="Times New Roman" w:hAnsi="Times New Roman" w:cs="Times New Roman"/>
                <w:b/>
                <w:color w:val="000000" w:themeColor="text1"/>
                <w:sz w:val="21"/>
                <w:szCs w:val="21"/>
                <w:lang w:eastAsia="zh-CN"/>
              </w:rPr>
              <w:t>；</w:t>
            </w:r>
            <w:r>
              <w:rPr>
                <w:rFonts w:hint="default" w:ascii="Times New Roman" w:hAnsi="Times New Roman" w:cs="Times New Roman"/>
                <w:b/>
                <w:color w:val="000000" w:themeColor="text1"/>
                <w:sz w:val="21"/>
                <w:szCs w:val="21"/>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与顾客有关过程的控制</w:t>
            </w:r>
            <w:r>
              <w:rPr>
                <w:rFonts w:hint="default" w:ascii="Times New Roman" w:hAnsi="Times New Roman" w:cs="Times New Roman"/>
                <w:sz w:val="21"/>
                <w:szCs w:val="21"/>
              </w:rPr>
              <w:t>：主要根据顾客提出的产品</w:t>
            </w:r>
            <w:r>
              <w:rPr>
                <w:rFonts w:hint="default" w:ascii="Times New Roman" w:hAnsi="Times New Roman" w:cs="Times New Roman"/>
                <w:sz w:val="21"/>
                <w:szCs w:val="21"/>
                <w:lang w:val="en-US" w:eastAsia="zh-CN"/>
              </w:rPr>
              <w:t>和服务</w:t>
            </w:r>
            <w:r>
              <w:rPr>
                <w:rFonts w:hint="default" w:ascii="Times New Roman" w:hAnsi="Times New Roman" w:cs="Times New Roman"/>
                <w:sz w:val="21"/>
                <w:szCs w:val="21"/>
              </w:rPr>
              <w:t>要求/标书中明示要求等进行控制，要求进行合同评审确保能满足客户需求，</w:t>
            </w:r>
            <w:r>
              <w:rPr>
                <w:rFonts w:hint="default" w:ascii="Times New Roman" w:hAnsi="Times New Roman" w:cs="Times New Roman"/>
                <w:sz w:val="21"/>
                <w:szCs w:val="21"/>
                <w:lang w:val="en-US" w:eastAsia="zh-CN"/>
              </w:rPr>
              <w:t>经查合同评审记录，</w:t>
            </w:r>
            <w:r>
              <w:rPr>
                <w:rFonts w:hint="eastAsia" w:cs="Times New Roman"/>
                <w:sz w:val="21"/>
                <w:szCs w:val="21"/>
                <w:lang w:val="en-US" w:eastAsia="zh-CN"/>
              </w:rPr>
              <w:t>符合要求</w:t>
            </w:r>
            <w:r>
              <w:rPr>
                <w:rFonts w:hint="default" w:ascii="Times New Roman" w:hAnsi="Times New Roman" w:cs="Times New Roman"/>
                <w:sz w:val="21"/>
                <w:szCs w:val="21"/>
              </w:rPr>
              <w:t>。</w:t>
            </w:r>
            <w:r>
              <w:rPr>
                <w:rFonts w:hint="eastAsia" w:cs="Times New Roman"/>
                <w:sz w:val="21"/>
                <w:szCs w:val="21"/>
                <w:lang w:val="en-US" w:eastAsia="zh-CN"/>
              </w:rPr>
              <w:t>目前控制情况良好。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lang w:val="en-US"/>
              </w:rPr>
            </w:pPr>
            <w:r>
              <w:rPr>
                <w:rFonts w:hint="default" w:ascii="Times New Roman" w:hAnsi="Times New Roman" w:cs="Times New Roman"/>
                <w:sz w:val="21"/>
                <w:szCs w:val="21"/>
              </w:rPr>
              <w:t>2.采购过程控制：</w:t>
            </w:r>
            <w:r>
              <w:rPr>
                <w:rFonts w:hint="eastAsia" w:ascii="宋体" w:hAnsi="宋体"/>
                <w:color w:val="auto"/>
                <w:kern w:val="2"/>
                <w:sz w:val="21"/>
                <w:szCs w:val="21"/>
                <w:lang w:bidi="ar-SA"/>
              </w:rPr>
              <w:t>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未提供对外包过程进行评价的证据，已开具不符合报告，要求限期整改。</w:t>
            </w:r>
          </w:p>
          <w:p>
            <w:pPr>
              <w:pStyle w:val="17"/>
              <w:keepNext w:val="0"/>
              <w:keepLines w:val="0"/>
              <w:pageBreakBefore w:val="0"/>
              <w:widowControl w:val="0"/>
              <w:kinsoku/>
              <w:wordWrap/>
              <w:overflowPunct/>
              <w:topLinePunct w:val="0"/>
              <w:bidi w:val="0"/>
              <w:snapToGrid/>
              <w:spacing w:line="340" w:lineRule="exact"/>
              <w:ind w:right="0" w:rightChars="0"/>
              <w:textAlignment w:val="auto"/>
              <w:rPr>
                <w:rFonts w:hint="default" w:ascii="Times New Roman" w:hAnsi="Times New Roman" w:cs="Times New Roman"/>
                <w:color w:val="auto"/>
                <w:sz w:val="21"/>
                <w:szCs w:val="21"/>
                <w:lang w:val="en-GB" w:eastAsia="zh-CN"/>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设计和开发过程：主要设计的项目为</w:t>
            </w:r>
            <w:r>
              <w:rPr>
                <w:rFonts w:hint="default" w:ascii="Times New Roman" w:hAnsi="Times New Roman" w:cs="Times New Roman"/>
                <w:sz w:val="21"/>
                <w:szCs w:val="21"/>
              </w:rPr>
              <w:t>计算机系统集成、</w:t>
            </w:r>
            <w:r>
              <w:rPr>
                <w:rFonts w:hint="eastAsia" w:cs="Times New Roman"/>
                <w:sz w:val="21"/>
                <w:szCs w:val="21"/>
                <w:lang w:val="en-US" w:eastAsia="zh-CN"/>
              </w:rPr>
              <w:t>计算机软件</w:t>
            </w:r>
            <w:r>
              <w:rPr>
                <w:rFonts w:hint="default" w:ascii="Times New Roman" w:hAnsi="Times New Roman" w:cs="Times New Roman"/>
                <w:sz w:val="21"/>
                <w:szCs w:val="21"/>
                <w:lang w:val="en-US" w:eastAsia="zh-CN"/>
              </w:rPr>
              <w:t>，提供了</w:t>
            </w:r>
            <w:r>
              <w:rPr>
                <w:rFonts w:hint="default" w:ascii="Times New Roman" w:hAnsi="Times New Roman" w:cs="Times New Roman"/>
                <w:sz w:val="21"/>
                <w:szCs w:val="21"/>
              </w:rPr>
              <w:t>设计和开发项</w:t>
            </w:r>
            <w:r>
              <w:rPr>
                <w:rFonts w:hint="default" w:ascii="Times New Roman" w:hAnsi="Times New Roman" w:cs="Times New Roman"/>
                <w:color w:val="auto"/>
                <w:sz w:val="21"/>
                <w:szCs w:val="21"/>
              </w:rPr>
              <w:t>目计划书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设计开发项目任务书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设计开发输出清单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设计开发输入及评审记录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设计开发输出</w:t>
            </w:r>
            <w:r>
              <w:rPr>
                <w:rFonts w:hint="default" w:ascii="Times New Roman" w:hAnsi="Times New Roman" w:cs="Times New Roman"/>
                <w:color w:val="auto"/>
                <w:sz w:val="21"/>
                <w:szCs w:val="21"/>
                <w:lang w:eastAsia="zh-CN"/>
              </w:rPr>
              <w:t>及评审记录、设计开发确认记录、设计开发验证记录，</w:t>
            </w:r>
            <w:r>
              <w:rPr>
                <w:rFonts w:hint="default" w:ascii="Times New Roman" w:hAnsi="Times New Roman" w:cs="Times New Roman"/>
                <w:bCs/>
                <w:sz w:val="21"/>
                <w:szCs w:val="21"/>
                <w:lang w:eastAsia="zh-CN"/>
              </w:rPr>
              <w:t>现场审核发现设计开发资料基本符合要求。</w:t>
            </w:r>
            <w:r>
              <w:rPr>
                <w:rFonts w:hint="default" w:ascii="Times New Roman" w:hAnsi="Times New Roman" w:cs="Times New Roman"/>
                <w:sz w:val="21"/>
                <w:szCs w:val="21"/>
              </w:rPr>
              <w:t>审核结论：产品的</w:t>
            </w:r>
            <w:r>
              <w:rPr>
                <w:rFonts w:hint="default" w:ascii="Times New Roman" w:hAnsi="Times New Roman" w:cs="Times New Roman"/>
                <w:sz w:val="21"/>
                <w:szCs w:val="21"/>
                <w:lang w:eastAsia="zh-CN"/>
              </w:rPr>
              <w:t>设计开发</w:t>
            </w:r>
            <w:r>
              <w:rPr>
                <w:rFonts w:hint="default" w:ascii="Times New Roman" w:hAnsi="Times New Roman" w:cs="Times New Roman"/>
                <w:sz w:val="21"/>
                <w:szCs w:val="21"/>
              </w:rPr>
              <w:t>过程控制符合要求。</w:t>
            </w:r>
          </w:p>
          <w:p>
            <w:pPr>
              <w:keepNext w:val="0"/>
              <w:keepLines w:val="0"/>
              <w:pageBreakBefore w:val="0"/>
              <w:widowControl w:val="0"/>
              <w:kinsoku/>
              <w:wordWrap/>
              <w:overflowPunct/>
              <w:topLinePunct w:val="0"/>
              <w:bidi w:val="0"/>
              <w:snapToGrid/>
              <w:spacing w:line="340" w:lineRule="exact"/>
              <w:ind w:left="0" w:leftChars="0" w:right="0" w:rightChars="0"/>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w:t>
            </w:r>
            <w:r>
              <w:rPr>
                <w:rFonts w:hint="eastAsia" w:cs="Times New Roman"/>
                <w:color w:val="auto"/>
                <w:kern w:val="2"/>
                <w:sz w:val="21"/>
                <w:szCs w:val="21"/>
                <w:lang w:val="en-US" w:eastAsia="zh-CN" w:bidi="ar-SA"/>
              </w:rPr>
              <w:t>服务</w:t>
            </w:r>
            <w:r>
              <w:rPr>
                <w:rFonts w:hint="default" w:ascii="Times New Roman" w:hAnsi="Times New Roman" w:cs="Times New Roman"/>
                <w:color w:val="auto"/>
                <w:kern w:val="2"/>
                <w:sz w:val="21"/>
                <w:szCs w:val="21"/>
                <w:lang w:val="en-GB" w:eastAsia="zh-CN" w:bidi="ar-SA"/>
              </w:rPr>
              <w:t>过程控制：依据施工方案进行施工，</w:t>
            </w:r>
            <w:r>
              <w:rPr>
                <w:rFonts w:hint="default" w:ascii="Times New Roman" w:hAnsi="Times New Roman" w:cs="Times New Roman"/>
                <w:sz w:val="21"/>
                <w:szCs w:val="21"/>
                <w:lang w:eastAsia="zh-CN"/>
              </w:rPr>
              <w:t>方案中明</w:t>
            </w:r>
            <w:r>
              <w:rPr>
                <w:rFonts w:hint="default" w:ascii="Times New Roman" w:hAnsi="Times New Roman" w:cs="Times New Roman"/>
                <w:sz w:val="21"/>
                <w:szCs w:val="21"/>
              </w:rPr>
              <w:t>确了</w:t>
            </w:r>
            <w:r>
              <w:rPr>
                <w:rFonts w:hint="default" w:ascii="Times New Roman" w:hAnsi="Times New Roman" w:cs="Times New Roman"/>
                <w:sz w:val="21"/>
                <w:szCs w:val="21"/>
                <w:lang w:eastAsia="zh-CN"/>
              </w:rPr>
              <w:t>施工布置及施工方案、与相关单位的施工配合、项目组织结构、施工进度计划及进度保证措施、材料供应的总体计划及质量保证措施、降低成措施、冬雨季施工措施、文明施工、环境保护措施、工程质量保证体系、工程实施人员</w:t>
            </w:r>
            <w:r>
              <w:rPr>
                <w:rFonts w:hint="default" w:ascii="Times New Roman" w:hAnsi="Times New Roman" w:cs="Times New Roman"/>
                <w:sz w:val="21"/>
                <w:szCs w:val="21"/>
              </w:rPr>
              <w:t>等</w:t>
            </w:r>
            <w:r>
              <w:rPr>
                <w:rFonts w:hint="default" w:ascii="Times New Roman" w:hAnsi="Times New Roman" w:cs="Times New Roman"/>
                <w:sz w:val="21"/>
                <w:szCs w:val="21"/>
                <w:lang w:eastAsia="zh-CN"/>
              </w:rPr>
              <w:t>，</w:t>
            </w:r>
            <w:r>
              <w:rPr>
                <w:rFonts w:hint="default" w:ascii="Times New Roman" w:hAnsi="Times New Roman" w:cs="Times New Roman"/>
                <w:sz w:val="21"/>
                <w:szCs w:val="21"/>
              </w:rPr>
              <w:t>编制了《</w:t>
            </w:r>
            <w:r>
              <w:rPr>
                <w:rFonts w:hint="default" w:ascii="Times New Roman" w:hAnsi="Times New Roman" w:cs="Times New Roman"/>
                <w:sz w:val="21"/>
                <w:szCs w:val="21"/>
                <w:lang w:eastAsia="zh-CN"/>
              </w:rPr>
              <w:t>施工规范与工艺流程</w:t>
            </w:r>
            <w:r>
              <w:rPr>
                <w:rFonts w:hint="default" w:ascii="Times New Roman" w:hAnsi="Times New Roman" w:cs="Times New Roman"/>
                <w:sz w:val="21"/>
                <w:szCs w:val="21"/>
              </w:rPr>
              <w:t>》</w:t>
            </w:r>
            <w:r>
              <w:rPr>
                <w:rFonts w:hint="default" w:ascii="Times New Roman" w:hAnsi="Times New Roman" w:cs="Times New Roman"/>
                <w:sz w:val="21"/>
                <w:szCs w:val="21"/>
                <w:lang w:eastAsia="zh-CN"/>
              </w:rPr>
              <w:t>、《线缆敷设工艺要求》</w:t>
            </w:r>
            <w:r>
              <w:rPr>
                <w:rFonts w:hint="default" w:ascii="Times New Roman" w:hAnsi="Times New Roman" w:cs="Times New Roman"/>
                <w:sz w:val="21"/>
                <w:szCs w:val="21"/>
              </w:rPr>
              <w:t>、</w:t>
            </w:r>
            <w:r>
              <w:rPr>
                <w:rFonts w:hint="default" w:ascii="Times New Roman" w:hAnsi="Times New Roman" w:cs="Times New Roman"/>
                <w:sz w:val="21"/>
                <w:szCs w:val="21"/>
                <w:lang w:eastAsia="zh-CN"/>
              </w:rPr>
              <w:t>《安全生产责任制》、《安全防护、文明施工措施》，</w:t>
            </w:r>
            <w:r>
              <w:rPr>
                <w:rFonts w:hint="default" w:ascii="Times New Roman" w:hAnsi="Times New Roman" w:cs="Times New Roman"/>
                <w:sz w:val="21"/>
                <w:szCs w:val="21"/>
              </w:rPr>
              <w:t>对直接影响整体工程质量的方案设计阶段和各个过程、因素进行控制</w:t>
            </w:r>
            <w:r>
              <w:rPr>
                <w:rFonts w:hint="default" w:ascii="Times New Roman" w:hAnsi="Times New Roman" w:cs="Times New Roman"/>
                <w:sz w:val="21"/>
                <w:szCs w:val="21"/>
                <w:lang w:eastAsia="zh-CN"/>
              </w:rPr>
              <w:t>。</w:t>
            </w:r>
            <w:r>
              <w:rPr>
                <w:rFonts w:hint="default" w:ascii="Times New Roman" w:hAnsi="Times New Roman" w:cs="Times New Roman"/>
                <w:color w:val="auto"/>
                <w:kern w:val="2"/>
                <w:sz w:val="21"/>
                <w:szCs w:val="21"/>
                <w:lang w:val="en-GB" w:eastAsia="zh-CN" w:bidi="ar-SA"/>
              </w:rPr>
              <w:t>查看施工日志及在建项目施工情况，均按照要求进行操作，审核结论：</w:t>
            </w:r>
            <w:r>
              <w:rPr>
                <w:rFonts w:hint="default" w:ascii="Times New Roman" w:hAnsi="Times New Roman" w:cs="Times New Roman"/>
                <w:color w:val="auto"/>
                <w:kern w:val="2"/>
                <w:sz w:val="21"/>
                <w:szCs w:val="21"/>
                <w:lang w:val="en-US" w:eastAsia="zh-CN" w:bidi="ar-SA"/>
              </w:rPr>
              <w:t>施工过程控制符合要求。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GB"/>
              </w:rPr>
              <w:t>产品检验：分为原材料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color w:val="auto"/>
                <w:sz w:val="21"/>
                <w:szCs w:val="21"/>
                <w:lang w:val="en-GB"/>
              </w:rPr>
              <w:t>，原材料</w:t>
            </w:r>
            <w:r>
              <w:rPr>
                <w:rFonts w:hint="default" w:ascii="Times New Roman" w:hAnsi="Times New Roman" w:cs="Times New Roman"/>
                <w:color w:val="auto"/>
                <w:sz w:val="21"/>
                <w:szCs w:val="21"/>
                <w:lang w:val="en-GB" w:eastAsia="zh-CN"/>
              </w:rPr>
              <w:t>验证</w:t>
            </w:r>
            <w:r>
              <w:rPr>
                <w:rFonts w:hint="default" w:ascii="Times New Roman" w:hAnsi="Times New Roman" w:cs="Times New Roman"/>
                <w:color w:val="auto"/>
                <w:sz w:val="21"/>
                <w:szCs w:val="21"/>
                <w:lang w:val="en-GB"/>
              </w:rPr>
              <w:t>项目有</w:t>
            </w:r>
            <w:r>
              <w:rPr>
                <w:rFonts w:hint="default" w:ascii="Times New Roman" w:hAnsi="Times New Roman" w:cs="Times New Roman"/>
                <w:color w:val="auto"/>
                <w:sz w:val="21"/>
                <w:szCs w:val="21"/>
              </w:rPr>
              <w:t>数量</w:t>
            </w:r>
            <w:r>
              <w:rPr>
                <w:rFonts w:hint="default" w:ascii="Times New Roman" w:hAnsi="Times New Roman" w:cs="Times New Roman"/>
                <w:color w:val="auto"/>
                <w:sz w:val="21"/>
                <w:szCs w:val="21"/>
                <w:lang w:val="en-US" w:eastAsia="zh-CN"/>
              </w:rPr>
              <w:t>/规格/材质单</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eastAsia="zh-CN"/>
              </w:rPr>
              <w:t>分部工程由项目经理抽检</w:t>
            </w:r>
            <w:r>
              <w:rPr>
                <w:rFonts w:hint="default" w:ascii="Times New Roman" w:hAnsi="Times New Roman" w:cs="Times New Roman"/>
                <w:color w:val="auto"/>
                <w:sz w:val="21"/>
                <w:szCs w:val="21"/>
                <w:lang w:val="en-US" w:eastAsia="zh-CN"/>
              </w:rPr>
              <w:t>，</w:t>
            </w:r>
            <w:r>
              <w:rPr>
                <w:rFonts w:hint="default" w:ascii="Times New Roman" w:hAnsi="Times New Roman" w:cs="Times New Roman"/>
                <w:sz w:val="21"/>
                <w:szCs w:val="21"/>
                <w:lang w:eastAsia="zh-CN"/>
              </w:rPr>
              <w:t>经由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监理、建设单位验收后方进入下一分部工程</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GB"/>
              </w:rPr>
              <w:t>成品检验</w:t>
            </w:r>
            <w:r>
              <w:rPr>
                <w:rFonts w:hint="default" w:ascii="Times New Roman" w:hAnsi="Times New Roman" w:cs="Times New Roman"/>
                <w:color w:val="auto"/>
                <w:sz w:val="21"/>
                <w:szCs w:val="21"/>
                <w:lang w:val="en-GB" w:eastAsia="zh-CN"/>
              </w:rPr>
              <w:t>：</w:t>
            </w:r>
            <w:r>
              <w:rPr>
                <w:rFonts w:hint="default" w:ascii="Times New Roman" w:hAnsi="Times New Roman" w:cs="Times New Roman"/>
                <w:sz w:val="21"/>
                <w:szCs w:val="21"/>
                <w:lang w:eastAsia="zh-CN"/>
              </w:rPr>
              <w:t>由</w:t>
            </w:r>
            <w:r>
              <w:rPr>
                <w:rFonts w:hint="default" w:ascii="Times New Roman" w:hAnsi="Times New Roman" w:cs="Times New Roman"/>
                <w:sz w:val="21"/>
                <w:szCs w:val="21"/>
              </w:rPr>
              <w:t>施工方、</w:t>
            </w:r>
            <w:r>
              <w:rPr>
                <w:rFonts w:hint="default" w:ascii="Times New Roman" w:hAnsi="Times New Roman" w:cs="Times New Roman"/>
                <w:sz w:val="21"/>
                <w:szCs w:val="21"/>
                <w:lang w:eastAsia="zh-CN"/>
              </w:rPr>
              <w:t>监理、建设单位验收出具</w:t>
            </w:r>
            <w:r>
              <w:rPr>
                <w:rFonts w:hint="default" w:ascii="Times New Roman" w:hAnsi="Times New Roman" w:cs="Times New Roman"/>
                <w:sz w:val="21"/>
                <w:szCs w:val="21"/>
              </w:rPr>
              <w:t>工程竣工报告</w:t>
            </w:r>
            <w:r>
              <w:rPr>
                <w:rFonts w:hint="default" w:ascii="Times New Roman" w:hAnsi="Times New Roman" w:cs="Times New Roman"/>
                <w:color w:val="auto"/>
                <w:sz w:val="21"/>
                <w:szCs w:val="21"/>
                <w:lang w:eastAsia="zh-CN"/>
              </w:rPr>
              <w:t>。</w:t>
            </w:r>
            <w:r>
              <w:rPr>
                <w:rFonts w:hint="default" w:ascii="Times New Roman" w:hAnsi="Times New Roman" w:cs="Times New Roman"/>
                <w:bCs/>
                <w:color w:val="auto"/>
                <w:sz w:val="21"/>
                <w:szCs w:val="21"/>
              </w:rPr>
              <w:t>提供</w:t>
            </w:r>
            <w:r>
              <w:rPr>
                <w:rFonts w:hint="default" w:ascii="Times New Roman" w:hAnsi="Times New Roman" w:cs="Times New Roman"/>
                <w:bCs/>
                <w:color w:val="auto"/>
                <w:sz w:val="21"/>
                <w:szCs w:val="21"/>
                <w:lang w:eastAsia="zh-CN"/>
              </w:rPr>
              <w:t>原材料、</w:t>
            </w:r>
            <w:r>
              <w:rPr>
                <w:rFonts w:hint="default" w:ascii="Times New Roman" w:hAnsi="Times New Roman" w:cs="Times New Roman"/>
                <w:color w:val="auto"/>
                <w:sz w:val="21"/>
                <w:szCs w:val="21"/>
                <w:lang w:val="en-GB" w:eastAsia="zh-CN"/>
              </w:rPr>
              <w:t>分部工程</w:t>
            </w:r>
            <w:r>
              <w:rPr>
                <w:rFonts w:hint="default" w:ascii="Times New Roman" w:hAnsi="Times New Roman" w:cs="Times New Roman"/>
                <w:color w:val="auto"/>
                <w:sz w:val="21"/>
                <w:szCs w:val="21"/>
                <w:lang w:val="en-GB"/>
              </w:rPr>
              <w:t>检验</w:t>
            </w:r>
            <w:r>
              <w:rPr>
                <w:rFonts w:hint="default" w:ascii="Times New Roman" w:hAnsi="Times New Roman" w:cs="Times New Roman"/>
                <w:color w:val="auto"/>
                <w:sz w:val="21"/>
                <w:szCs w:val="21"/>
                <w:lang w:val="en-GB" w:eastAsia="zh-CN"/>
              </w:rPr>
              <w:t>、竣工验收</w:t>
            </w:r>
            <w:r>
              <w:rPr>
                <w:rFonts w:hint="default" w:ascii="Times New Roman" w:hAnsi="Times New Roman" w:cs="Times New Roman"/>
                <w:bCs/>
                <w:color w:val="auto"/>
                <w:sz w:val="21"/>
                <w:szCs w:val="21"/>
              </w:rPr>
              <w:t>记录</w:t>
            </w:r>
            <w:r>
              <w:rPr>
                <w:rFonts w:hint="default" w:ascii="Times New Roman" w:hAnsi="Times New Roman" w:cs="Times New Roman"/>
                <w:bCs/>
                <w:color w:val="auto"/>
                <w:sz w:val="21"/>
                <w:szCs w:val="21"/>
                <w:lang w:eastAsia="zh-CN"/>
              </w:rPr>
              <w:t>。现场审核发现产品检验记录基本符合要求。</w:t>
            </w:r>
            <w:r>
              <w:rPr>
                <w:rFonts w:hint="default" w:ascii="Times New Roman" w:hAnsi="Times New Roman" w:cs="Times New Roman"/>
                <w:color w:val="auto"/>
                <w:sz w:val="21"/>
                <w:szCs w:val="21"/>
              </w:rPr>
              <w:t>审核结论：产品的监视测量过程控制符合要求</w:t>
            </w:r>
            <w:r>
              <w:rPr>
                <w:rFonts w:hint="default" w:ascii="Times New Roman" w:hAnsi="Times New Roman" w:cs="Times New Roman"/>
                <w:sz w:val="21"/>
                <w:szCs w:val="21"/>
              </w:rPr>
              <w:t>。</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1"/>
                <w:szCs w:val="21"/>
                <w:lang w:eastAsia="zh-CN"/>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.变更的控制：</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合同评审后，按合同要求进行</w:t>
            </w:r>
            <w:r>
              <w:rPr>
                <w:rFonts w:hint="default" w:ascii="Times New Roman" w:hAnsi="Times New Roman" w:cs="Times New Roman"/>
                <w:sz w:val="21"/>
                <w:szCs w:val="21"/>
                <w:lang w:val="en-US" w:eastAsia="zh-CN"/>
              </w:rPr>
              <w:t>服务</w:t>
            </w:r>
            <w:r>
              <w:rPr>
                <w:rFonts w:hint="default" w:ascii="Times New Roman" w:hAnsi="Times New Roman" w:cs="Times New Roman"/>
                <w:sz w:val="21"/>
                <w:szCs w:val="21"/>
              </w:rPr>
              <w:t>并交付，如发现标的物与顾客要求不一致的，与客户商量，重新签订合同，交货期延期的，与顾客商量，得到顾客确认后，再及时</w:t>
            </w:r>
            <w:r>
              <w:rPr>
                <w:rFonts w:hint="default" w:ascii="Times New Roman" w:hAnsi="Times New Roman" w:cs="Times New Roman"/>
                <w:sz w:val="21"/>
                <w:szCs w:val="21"/>
                <w:lang w:val="en-US" w:eastAsia="zh-CN"/>
              </w:rPr>
              <w:t>调整</w:t>
            </w:r>
            <w:r>
              <w:rPr>
                <w:rFonts w:hint="default" w:ascii="Times New Roman" w:hAnsi="Times New Roman" w:cs="Times New Roman"/>
                <w:sz w:val="21"/>
                <w:szCs w:val="21"/>
              </w:rPr>
              <w:t>，并对延期的原因进行分析，避免下次再发生，经了解，目前没有</w:t>
            </w:r>
            <w:r>
              <w:rPr>
                <w:rFonts w:hint="eastAsia"/>
                <w:sz w:val="21"/>
                <w:szCs w:val="21"/>
              </w:rPr>
              <w:t>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11" w:firstLineChars="100"/>
              <w:textAlignment w:val="auto"/>
              <w:rPr>
                <w:rFonts w:hint="default"/>
                <w:b/>
                <w:color w:val="000000" w:themeColor="text1"/>
                <w:sz w:val="21"/>
                <w:szCs w:val="21"/>
                <w:lang w:val="en-US" w:eastAsia="zh-CN"/>
              </w:rPr>
            </w:pPr>
            <w:r>
              <w:rPr>
                <w:rFonts w:hint="eastAsia"/>
                <w:b/>
                <w:color w:val="000000" w:themeColor="text1"/>
                <w:sz w:val="21"/>
                <w:szCs w:val="21"/>
                <w:lang w:val="en-US" w:eastAsia="zh-CN"/>
              </w:rPr>
              <w:t>无</w:t>
            </w:r>
          </w:p>
          <w:p>
            <w:pPr>
              <w:keepNext w:val="0"/>
              <w:keepLines w:val="0"/>
              <w:pageBreakBefore w:val="0"/>
              <w:kinsoku/>
              <w:wordWrap/>
              <w:overflowPunct/>
              <w:topLinePunct w:val="0"/>
              <w:bidi w:val="0"/>
              <w:snapToGrid/>
              <w:spacing w:line="360" w:lineRule="exact"/>
              <w:ind w:firstLine="207" w:firstLineChars="98"/>
              <w:textAlignment w:val="auto"/>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GB"/>
              </w:rPr>
              <w:t>编制</w:t>
            </w:r>
            <w:r>
              <w:rPr>
                <w:rFonts w:hint="eastAsia"/>
                <w:sz w:val="21"/>
                <w:szCs w:val="21"/>
              </w:rPr>
              <w:t>环境因素识别与评价控制程序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sz w:val="21"/>
                <w:szCs w:val="21"/>
                <w:lang w:val="en-US" w:eastAsia="zh-CN"/>
              </w:rPr>
              <w:t>施加影响的证据。</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1"/>
                <w:szCs w:val="21"/>
              </w:rPr>
            </w:pPr>
            <w:r>
              <w:rPr>
                <w:rFonts w:hint="eastAsia"/>
                <w:sz w:val="21"/>
                <w:szCs w:val="21"/>
                <w:lang w:val="en-GB"/>
              </w:rPr>
              <w:t>编制</w:t>
            </w:r>
            <w:r>
              <w:rPr>
                <w:rFonts w:hint="eastAsia"/>
                <w:sz w:val="21"/>
                <w:szCs w:val="21"/>
              </w:rPr>
              <w:t>危险源辩识与风险评价控制程序</w:t>
            </w:r>
            <w:r>
              <w:rPr>
                <w:rFonts w:hint="eastAsia"/>
                <w:sz w:val="21"/>
                <w:szCs w:val="21"/>
                <w:lang w:eastAsia="zh-CN"/>
              </w:rPr>
              <w:t>、</w:t>
            </w:r>
            <w:r>
              <w:rPr>
                <w:rFonts w:hint="eastAsia"/>
                <w:sz w:val="21"/>
                <w:szCs w:val="21"/>
                <w:lang w:val="en-GB"/>
              </w:rPr>
              <w:t>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高处坠落、车辆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但未能提供对产品运输外包方</w:t>
            </w:r>
            <w:r>
              <w:rPr>
                <w:rFonts w:hint="eastAsia" w:ascii="方正仿宋简体" w:eastAsia="方正仿宋简体"/>
                <w:b w:val="0"/>
                <w:bCs/>
                <w:sz w:val="21"/>
                <w:szCs w:val="21"/>
                <w:lang w:val="en-US" w:eastAsia="zh-CN"/>
              </w:rPr>
              <w:t>施加影响的证据。</w:t>
            </w:r>
            <w:r>
              <w:rPr>
                <w:rFonts w:hint="eastAsia"/>
                <w:sz w:val="21"/>
                <w:szCs w:val="21"/>
              </w:rPr>
              <w:t>查看办公区域干净整洁，配置灭火器等消防设施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ind w:left="201" w:hanging="211" w:hangingChars="100"/>
              <w:textAlignment w:val="auto"/>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1"/>
                <w:szCs w:val="21"/>
                <w:lang w:val="en-US"/>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r>
              <w:rPr>
                <w:rFonts w:hint="eastAsia"/>
                <w:b/>
                <w:color w:val="000000" w:themeColor="text1"/>
                <w:sz w:val="2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5" w:hangingChars="50"/>
              <w:textAlignment w:val="auto"/>
              <w:rPr>
                <w:b/>
                <w:color w:val="000000" w:themeColor="text1"/>
                <w:sz w:val="21"/>
                <w:szCs w:val="21"/>
              </w:rPr>
            </w:pPr>
            <w:r>
              <w:rPr>
                <w:rFonts w:hint="eastAsia"/>
                <w:b/>
                <w:color w:val="000000" w:themeColor="text1"/>
                <w:sz w:val="21"/>
                <w:szCs w:val="21"/>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1"/>
                <w:szCs w:val="21"/>
              </w:rPr>
            </w:pPr>
          </w:p>
        </w:tc>
        <w:tc>
          <w:tcPr>
            <w:tcW w:w="9198" w:type="dxa"/>
          </w:tcPr>
          <w:p>
            <w:pPr>
              <w:keepNext w:val="0"/>
              <w:keepLines w:val="0"/>
              <w:pageBreakBefore w:val="0"/>
              <w:numPr>
                <w:ilvl w:val="0"/>
                <w:numId w:val="6"/>
              </w:numPr>
              <w:kinsoku/>
              <w:wordWrap/>
              <w:overflowPunct/>
              <w:topLinePunct w:val="0"/>
              <w:bidi w:val="0"/>
              <w:snapToGrid/>
              <w:spacing w:line="360" w:lineRule="exact"/>
              <w:ind w:left="100" w:hanging="105" w:hangingChars="50"/>
              <w:textAlignment w:val="auto"/>
              <w:rPr>
                <w:rFonts w:hint="eastAsia"/>
                <w:b/>
                <w:color w:val="000000" w:themeColor="text1"/>
                <w:sz w:val="21"/>
                <w:szCs w:val="21"/>
              </w:rPr>
            </w:pPr>
            <w:r>
              <w:rPr>
                <w:rFonts w:hint="eastAsia"/>
                <w:b/>
                <w:color w:val="000000" w:themeColor="text1"/>
                <w:sz w:val="21"/>
                <w:szCs w:val="21"/>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1"/>
                <w:szCs w:val="21"/>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rPr>
              <w:t>按照策划</w:t>
            </w:r>
            <w:r>
              <w:rPr>
                <w:rFonts w:hint="eastAsia"/>
                <w:sz w:val="21"/>
                <w:szCs w:val="21"/>
                <w:highlight w:val="none"/>
              </w:rPr>
              <w:t>的安排于</w:t>
            </w:r>
            <w:r>
              <w:rPr>
                <w:sz w:val="21"/>
                <w:szCs w:val="21"/>
                <w:highlight w:val="none"/>
              </w:rPr>
              <w:t>20</w:t>
            </w:r>
            <w:r>
              <w:rPr>
                <w:rFonts w:hint="eastAsia"/>
                <w:sz w:val="21"/>
                <w:szCs w:val="21"/>
                <w:highlight w:val="none"/>
                <w:lang w:val="en-US" w:eastAsia="zh-CN"/>
              </w:rPr>
              <w:t>20年11月25日</w:t>
            </w:r>
            <w:r>
              <w:rPr>
                <w:rFonts w:hint="eastAsia"/>
                <w:sz w:val="21"/>
                <w:szCs w:val="21"/>
                <w:highlight w:val="none"/>
              </w:rPr>
              <w:t>进行了一次集中式的内部审核，经查阅资料及与管代沟通，内审员没有审核自己的工作，查阅内审记录，符合策划安排，提出</w:t>
            </w:r>
            <w:r>
              <w:rPr>
                <w:rFonts w:hint="eastAsia"/>
                <w:sz w:val="21"/>
                <w:szCs w:val="21"/>
                <w:highlight w:val="none"/>
                <w:lang w:val="en-US" w:eastAsia="zh-CN"/>
              </w:rPr>
              <w:t>1</w:t>
            </w:r>
            <w:r>
              <w:rPr>
                <w:rFonts w:hint="eastAsia"/>
                <w:sz w:val="21"/>
                <w:szCs w:val="21"/>
                <w:highlight w:val="none"/>
              </w:rPr>
              <w:t>项不符合，责任部门进行了分析原因、采取纠正/纠正措施并验证了有效性，内审报告中对管理体系的符合性、充分性和运行有效性进行了评价。内审符合要求</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11" w:hangingChars="100"/>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eastAsia="zh-CN"/>
              </w:rPr>
            </w:pPr>
            <w:r>
              <w:rPr>
                <w:rFonts w:hint="eastAsia"/>
                <w:sz w:val="21"/>
                <w:szCs w:val="21"/>
                <w:highlight w:val="none"/>
              </w:rPr>
              <w:t>按照策划的安排于</w:t>
            </w:r>
            <w:r>
              <w:rPr>
                <w:sz w:val="21"/>
                <w:szCs w:val="21"/>
                <w:highlight w:val="none"/>
              </w:rPr>
              <w:t>20</w:t>
            </w:r>
            <w:r>
              <w:rPr>
                <w:rFonts w:hint="eastAsia"/>
                <w:sz w:val="21"/>
                <w:szCs w:val="21"/>
                <w:highlight w:val="none"/>
                <w:lang w:val="en-US" w:eastAsia="zh-CN"/>
              </w:rPr>
              <w:t>20</w:t>
            </w:r>
            <w:r>
              <w:rPr>
                <w:rFonts w:hint="eastAsia" w:cs="宋体"/>
                <w:sz w:val="21"/>
                <w:szCs w:val="21"/>
                <w:highlight w:val="none"/>
              </w:rPr>
              <w:t>年</w:t>
            </w:r>
            <w:r>
              <w:rPr>
                <w:rFonts w:hint="eastAsia" w:cs="宋体"/>
                <w:sz w:val="21"/>
                <w:szCs w:val="21"/>
                <w:highlight w:val="none"/>
                <w:lang w:val="en-US" w:eastAsia="zh-CN"/>
              </w:rPr>
              <w:t>12</w:t>
            </w:r>
            <w:r>
              <w:rPr>
                <w:rFonts w:hint="eastAsia" w:cs="宋体"/>
                <w:sz w:val="21"/>
                <w:szCs w:val="21"/>
                <w:highlight w:val="none"/>
              </w:rPr>
              <w:t>月</w:t>
            </w:r>
            <w:r>
              <w:rPr>
                <w:rFonts w:hint="eastAsia" w:cs="宋体"/>
                <w:sz w:val="21"/>
                <w:szCs w:val="21"/>
                <w:highlight w:val="none"/>
                <w:lang w:val="en-US" w:eastAsia="zh-CN"/>
              </w:rPr>
              <w:t>10</w:t>
            </w:r>
            <w:r>
              <w:rPr>
                <w:rFonts w:hint="eastAsia" w:cs="宋体"/>
                <w:sz w:val="21"/>
                <w:szCs w:val="21"/>
                <w:highlight w:val="none"/>
              </w:rPr>
              <w:t>日</w:t>
            </w:r>
            <w:r>
              <w:rPr>
                <w:rFonts w:hint="eastAsia"/>
                <w:sz w:val="21"/>
                <w:szCs w:val="21"/>
                <w:highlight w:val="none"/>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val="0"/>
                <w:bCs/>
                <w:color w:val="000000" w:themeColor="text1"/>
                <w:sz w:val="21"/>
                <w:szCs w:val="21"/>
                <w:lang w:val="en-US" w:eastAsia="zh-CN"/>
              </w:rPr>
              <w:t>对员工进行了体检，显示合格。</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1"/>
                <w:szCs w:val="21"/>
              </w:rPr>
            </w:pPr>
            <w:r>
              <w:rPr>
                <w:rFonts w:hint="eastAsia"/>
                <w:b/>
                <w:color w:val="000000" w:themeColor="text1"/>
                <w:spacing w:val="-20"/>
                <w:sz w:val="21"/>
                <w:szCs w:val="21"/>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1"/>
                <w:szCs w:val="21"/>
              </w:rPr>
            </w:pPr>
            <w:r>
              <w:rPr>
                <w:rFonts w:hint="eastAsia"/>
                <w:b/>
                <w:color w:val="000000" w:themeColor="text1"/>
                <w:sz w:val="21"/>
                <w:szCs w:val="21"/>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pacing w:val="-20"/>
                <w:sz w:val="21"/>
                <w:szCs w:val="21"/>
                <w:lang w:val="en-US" w:eastAsia="zh-CN"/>
              </w:rPr>
            </w:pPr>
            <w:r>
              <w:rPr>
                <w:rFonts w:hint="eastAsia"/>
                <w:b/>
                <w:color w:val="000000" w:themeColor="text1"/>
                <w:spacing w:val="-20"/>
                <w:sz w:val="21"/>
                <w:szCs w:val="21"/>
                <w:lang w:val="en-US" w:eastAsia="zh-CN"/>
              </w:rPr>
              <w:t>已改，符合要求。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textAlignment w:val="auto"/>
              <w:rPr>
                <w:rFonts w:hint="eastAsia"/>
                <w:b/>
                <w:color w:val="000000" w:themeColor="text1"/>
                <w:sz w:val="21"/>
                <w:szCs w:val="21"/>
              </w:rPr>
            </w:pPr>
            <w:r>
              <w:rPr>
                <w:rFonts w:hint="eastAsia"/>
                <w:b/>
                <w:color w:val="000000" w:themeColor="text1"/>
                <w:sz w:val="21"/>
                <w:szCs w:val="21"/>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积极开发新产品。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ind w:left="0" w:leftChars="0" w:firstLine="0" w:firstLineChars="0"/>
              <w:textAlignment w:val="auto"/>
              <w:rPr>
                <w:rFonts w:hint="eastAsia"/>
                <w:b/>
                <w:color w:val="000000" w:themeColor="text1"/>
                <w:sz w:val="21"/>
                <w:szCs w:val="21"/>
              </w:rPr>
            </w:pPr>
            <w:r>
              <w:rPr>
                <w:rFonts w:hint="eastAsia"/>
                <w:b/>
                <w:color w:val="000000" w:themeColor="text1"/>
                <w:sz w:val="21"/>
                <w:szCs w:val="21"/>
              </w:rPr>
              <w:t>上次不符合的整改情况（再认证填写）</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default" w:eastAsia="宋体"/>
                <w:b/>
                <w:color w:val="000000" w:themeColor="text1"/>
                <w:sz w:val="21"/>
                <w:szCs w:val="21"/>
                <w:lang w:val="en-US" w:eastAsia="zh-CN"/>
              </w:rPr>
            </w:pPr>
            <w:r>
              <w:rPr>
                <w:rFonts w:hint="eastAsia"/>
                <w:b/>
                <w:color w:val="000000" w:themeColor="text1"/>
                <w:sz w:val="21"/>
                <w:szCs w:val="21"/>
                <w:lang w:val="en-US" w:eastAsia="zh-CN"/>
              </w:rPr>
              <w:t>上次远程审核不符合项Q/E/O8.4.条款，</w:t>
            </w:r>
            <w:r>
              <w:rPr>
                <w:rFonts w:hint="eastAsia" w:ascii="Times New Roman" w:hAnsi="Times New Roman" w:eastAsia="宋体" w:cs="Times New Roman"/>
                <w:b/>
                <w:color w:val="000000" w:themeColor="text1"/>
                <w:sz w:val="21"/>
                <w:szCs w:val="21"/>
                <w:lang w:val="en-US" w:eastAsia="zh-CN"/>
              </w:rPr>
              <w:t>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8" o:spt="20" style="position:absolute;left:0pt;margin-left:210pt;margin-top:16.2pt;height:0pt;width: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w:t>
      </w:r>
      <w:r>
        <w:rPr>
          <w:rFonts w:hint="eastAsia"/>
          <w:b/>
          <w:color w:val="000000" w:themeColor="text1"/>
          <w:highlight w:val="none"/>
        </w:rPr>
        <w:t>，观察项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eastAsia="zh-CN"/>
        </w:rPr>
        <w:t>，</w:t>
      </w:r>
      <w:r>
        <w:rPr>
          <w:rFonts w:hint="eastAsia"/>
          <w:b/>
          <w:color w:val="000000" w:themeColor="text1"/>
          <w:highlight w:val="none"/>
        </w:rPr>
        <w:t>分布在</w:t>
      </w:r>
      <w:r>
        <w:rPr>
          <w:rFonts w:hint="eastAsia"/>
          <w:b/>
          <w:color w:val="000000" w:themeColor="text1"/>
          <w:lang w:val="en-US" w:eastAsia="zh-CN"/>
        </w:rPr>
        <w:t>部门</w:t>
      </w:r>
      <w:r>
        <w:rPr>
          <w:rFonts w:hint="eastAsia"/>
          <w:b/>
          <w:color w:val="000000" w:themeColor="text1"/>
        </w:rPr>
        <w:t>的条款，分布见附件。</w:t>
      </w:r>
    </w:p>
    <w:p>
      <w:pPr>
        <w:tabs>
          <w:tab w:val="left" w:pos="215"/>
          <w:tab w:val="left" w:pos="430"/>
        </w:tabs>
        <w:spacing w:line="360" w:lineRule="auto"/>
        <w:ind w:left="-190" w:leftChars="-472" w:hanging="801" w:hangingChars="380"/>
        <w:rPr>
          <w:rFonts w:hint="eastAsia"/>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p>
    <w:p>
      <w:pPr>
        <w:tabs>
          <w:tab w:val="left" w:pos="215"/>
          <w:tab w:val="left" w:pos="430"/>
        </w:tabs>
        <w:spacing w:line="360" w:lineRule="auto"/>
        <w:ind w:left="1" w:leftChars="-472" w:hanging="992" w:hangingChars="380"/>
        <w:rPr>
          <w:rFonts w:hint="eastAsia" w:eastAsia="宋体"/>
          <w:b/>
          <w:color w:val="000000" w:themeColor="text1"/>
          <w:lang w:val="en-US" w:eastAsia="zh-CN"/>
        </w:rPr>
      </w:pPr>
      <w:r>
        <w:rPr>
          <w:rFonts w:hint="eastAsia"/>
          <w:b/>
          <w:color w:val="000000" w:themeColor="text1"/>
          <w:sz w:val="26"/>
          <w:szCs w:val="26"/>
        </w:rPr>
        <w:t>八、已识别出的任何未解决的问题：</w:t>
      </w:r>
      <w:r>
        <w:rPr>
          <w:rFonts w:hint="eastAsia"/>
          <w:b/>
          <w:color w:val="000000" w:themeColor="text1"/>
          <w:sz w:val="26"/>
          <w:szCs w:val="26"/>
          <w:lang w:val="en-US" w:eastAsia="zh-CN"/>
        </w:rPr>
        <w:t>无</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keepNext w:val="0"/>
              <w:keepLines w:val="0"/>
              <w:pageBreakBefore w:val="0"/>
              <w:widowControl w:val="0"/>
              <w:kinsoku/>
              <w:wordWrap/>
              <w:overflowPunct/>
              <w:topLinePunct w:val="0"/>
              <w:bidi w:val="0"/>
              <w:spacing w:line="360" w:lineRule="exact"/>
              <w:ind w:left="220" w:leftChars="105" w:firstLine="0" w:firstLineChars="0"/>
              <w:textAlignment w:val="auto"/>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keepNext w:val="0"/>
              <w:keepLines w:val="0"/>
              <w:pageBreakBefore w:val="0"/>
              <w:widowControl w:val="0"/>
              <w:kinsoku/>
              <w:wordWrap/>
              <w:overflowPunct/>
              <w:topLinePunct w:val="0"/>
              <w:bidi w:val="0"/>
              <w:spacing w:line="360" w:lineRule="exact"/>
              <w:textAlignment w:val="auto"/>
              <w:rPr>
                <w:b/>
                <w:color w:val="000000" w:themeColor="text1"/>
                <w:sz w:val="22"/>
                <w:szCs w:val="22"/>
              </w:rPr>
            </w:pPr>
          </w:p>
          <w:p>
            <w:pPr>
              <w:pStyle w:val="17"/>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四川恒升信达科技有限公司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keepNext w:val="0"/>
              <w:keepLines w:val="0"/>
              <w:pageBreakBefore w:val="0"/>
              <w:widowControl w:val="0"/>
              <w:kinsoku/>
              <w:wordWrap/>
              <w:overflowPunct/>
              <w:topLinePunct w:val="0"/>
              <w:bidi w:val="0"/>
              <w:spacing w:line="360" w:lineRule="exact"/>
              <w:textAlignment w:val="auto"/>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rPr>
            </w:pPr>
            <w:r>
              <w:rPr>
                <w:rFonts w:hint="eastAsia"/>
                <w:b/>
                <w:color w:val="000000" w:themeColor="text1"/>
              </w:rPr>
              <w:t>2.对审核范围适宜性结论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0"/>
              </w:rPr>
            </w:pPr>
            <w:r>
              <w:rPr>
                <w:b w:val="0"/>
                <w:bCs w:val="0"/>
                <w:sz w:val="20"/>
              </w:rPr>
              <w:t>Q：计算机软件开发，信息系统集成，电子产品销售</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0"/>
              </w:rPr>
            </w:pPr>
            <w:r>
              <w:rPr>
                <w:b w:val="0"/>
                <w:bCs w:val="0"/>
                <w:sz w:val="20"/>
              </w:rPr>
              <w:t>E：计算机软件开发，信息系统集成，电子产品销售所涉及的相关环境管理活动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0"/>
              </w:rPr>
            </w:pPr>
            <w:r>
              <w:rPr>
                <w:b w:val="0"/>
                <w:bCs w:val="0"/>
                <w:sz w:val="20"/>
              </w:rPr>
              <w:t>O：计算机软件开发，信息系统集成，电子产品销售所涉及的相关职业健康安全管理活动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keepNext w:val="0"/>
              <w:keepLines w:val="0"/>
              <w:pageBreakBefore w:val="0"/>
              <w:widowControl w:val="0"/>
              <w:kinsoku/>
              <w:wordWrap/>
              <w:overflowPunct/>
              <w:topLinePunct w:val="0"/>
              <w:bidi w:val="0"/>
              <w:spacing w:line="360" w:lineRule="exact"/>
              <w:textAlignment w:val="auto"/>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pageBreakBefore w:val="0"/>
              <w:widowControl w:val="0"/>
              <w:kinsoku/>
              <w:wordWrap/>
              <w:overflowPunct/>
              <w:topLinePunct w:val="0"/>
              <w:bidi w:val="0"/>
              <w:spacing w:line="360" w:lineRule="exact"/>
              <w:textAlignment w:val="auto"/>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pageBreakBefore w:val="0"/>
              <w:widowControl w:val="0"/>
              <w:kinsoku/>
              <w:wordWrap/>
              <w:overflowPunct/>
              <w:topLinePunct w:val="0"/>
              <w:bidi w:val="0"/>
              <w:snapToGrid w:val="0"/>
              <w:spacing w:line="360" w:lineRule="exact"/>
              <w:textAlignment w:val="auto"/>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b/>
          <w:color w:val="000000" w:themeColor="text1"/>
          <w:sz w:val="26"/>
          <w:szCs w:val="26"/>
        </w:rPr>
      </w:pPr>
    </w:p>
    <w:p>
      <w:pPr>
        <w:spacing w:beforeLines="50" w:afterLines="50"/>
        <w:ind w:left="1" w:leftChars="-405" w:hanging="851" w:hangingChars="326"/>
        <w:rPr>
          <w:rFonts w:hint="eastAsia" w:eastAsia="宋体"/>
          <w:b/>
          <w:color w:val="auto"/>
          <w:sz w:val="26"/>
          <w:szCs w:val="26"/>
          <w:lang w:val="en-US" w:eastAsia="zh-CN"/>
        </w:rPr>
      </w:pPr>
      <w:r>
        <w:rPr>
          <w:rFonts w:hint="eastAsia"/>
          <w:b/>
          <w:color w:val="000000" w:themeColor="text1"/>
          <w:sz w:val="26"/>
          <w:szCs w:val="26"/>
        </w:rPr>
        <w:t>十三、 任何影响审核方案的重要事项</w:t>
      </w:r>
      <w:r>
        <w:rPr>
          <w:rFonts w:hint="eastAsia"/>
          <w:b/>
          <w:color w:val="000000" w:themeColor="text1"/>
          <w:sz w:val="26"/>
          <w:szCs w:val="26"/>
          <w:lang w:eastAsia="zh-CN"/>
        </w:rPr>
        <w:t>：</w:t>
      </w:r>
      <w:r>
        <w:rPr>
          <w:rFonts w:hint="eastAsia" w:ascii="Times New Roman" w:hAnsi="Times New Roman" w:eastAsia="宋体" w:cs="Times New Roman"/>
          <w:b/>
          <w:color w:val="auto"/>
          <w:sz w:val="24"/>
          <w:szCs w:val="24"/>
        </w:rPr>
        <w:t>现场验证远程审核的有效性。提供的相关证实经现场验证真实有效。</w:t>
      </w:r>
    </w:p>
    <w:p>
      <w:pPr>
        <w:spacing w:beforeLines="50" w:afterLines="50"/>
        <w:ind w:left="-326" w:leftChars="-405" w:hanging="524" w:hangingChars="326"/>
        <w:rPr>
          <w:rFonts w:hint="default" w:eastAsia="宋体"/>
          <w:b/>
          <w:color w:val="000000" w:themeColor="text1"/>
          <w:sz w:val="16"/>
          <w:szCs w:val="16"/>
          <w:lang w:val="en-US" w:eastAsia="zh-CN"/>
        </w:rPr>
      </w:pPr>
      <w:r>
        <w:rPr>
          <w:rFonts w:hint="eastAsia"/>
          <w:b/>
          <w:color w:val="000000" w:themeColor="text1"/>
          <w:sz w:val="16"/>
          <w:szCs w:val="16"/>
          <w:lang w:val="en-US" w:eastAsia="zh-CN"/>
        </w:rPr>
        <w:t xml:space="preserve">        </w:t>
      </w:r>
    </w:p>
    <w:p>
      <w:pPr>
        <w:snapToGrid w:val="0"/>
        <w:rPr>
          <w:b/>
          <w:bCs/>
          <w:color w:val="000000" w:themeColor="text1"/>
          <w:szCs w:val="28"/>
          <w:u w:val="single"/>
        </w:rPr>
      </w:pPr>
    </w:p>
    <w:p>
      <w:pPr>
        <w:snapToGrid w:val="0"/>
        <w:spacing w:afterLines="50" w:line="360" w:lineRule="auto"/>
        <w:ind w:left="1" w:leftChars="-405" w:hanging="851" w:hangingChars="326"/>
        <w:rPr>
          <w:rFonts w:hint="eastAsia"/>
          <w:b/>
          <w:color w:val="000000" w:themeColor="text1"/>
          <w:sz w:val="26"/>
          <w:szCs w:val="26"/>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1598295</wp:posOffset>
            </wp:positionH>
            <wp:positionV relativeFrom="paragraph">
              <wp:posOffset>364490</wp:posOffset>
            </wp:positionV>
            <wp:extent cx="756920" cy="419735"/>
            <wp:effectExtent l="0" t="0" r="5080" b="698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6920" cy="41973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2360930</wp:posOffset>
            </wp:positionH>
            <wp:positionV relativeFrom="paragraph">
              <wp:posOffset>189230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83895" cy="3124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1593850</wp:posOffset>
            </wp:positionH>
            <wp:positionV relativeFrom="paragraph">
              <wp:posOffset>224790</wp:posOffset>
            </wp:positionV>
            <wp:extent cx="560070" cy="279400"/>
            <wp:effectExtent l="0" t="0" r="3810" b="1016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a:srcRect l="10377" t="24118" r="4335" b="17353"/>
                    <a:stretch>
                      <a:fillRect/>
                    </a:stretch>
                  </pic:blipFill>
                  <pic:spPr>
                    <a:xfrm>
                      <a:off x="0" y="0"/>
                      <a:ext cx="560070" cy="279400"/>
                    </a:xfrm>
                    <a:prstGeom prst="rect">
                      <a:avLst/>
                    </a:prstGeom>
                  </pic:spPr>
                </pic:pic>
              </a:graphicData>
            </a:graphic>
          </wp:anchor>
        </w:drawing>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asciiTheme="minorEastAsia" w:hAnsiTheme="minorEastAsia" w:eastAsiaTheme="minorEastAsia"/>
          <w:b/>
          <w:color w:val="000000" w:themeColor="text1"/>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snapToGrid w:val="0"/>
        <w:spacing w:line="360" w:lineRule="auto"/>
        <w:ind w:firstLine="4554" w:firstLineChars="2160"/>
        <w:rPr>
          <w:rFonts w:hint="eastAsia" w:asciiTheme="minorEastAsia" w:hAnsiTheme="minorEastAsia" w:eastAsiaTheme="minorEastAsia"/>
          <w:b/>
          <w:color w:val="000000" w:themeColor="text1"/>
        </w:rPr>
      </w:pP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)个严重不符合，验证</w:t>
      </w:r>
      <w:r>
        <w:rPr>
          <w:rFonts w:hint="eastAsia"/>
          <w:b/>
          <w:color w:val="000000" w:themeColor="text1"/>
          <w:spacing w:val="-10"/>
          <w:szCs w:val="21"/>
          <w:lang w:eastAsia="zh-CN"/>
        </w:rPr>
        <w:t>□</w:t>
      </w:r>
      <w:r>
        <w:rPr>
          <w:rFonts w:hint="eastAsia"/>
          <w:b/>
          <w:color w:val="000000" w:themeColor="text1"/>
          <w:szCs w:val="21"/>
        </w:rPr>
        <w:t>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660400</wp:posOffset>
            </wp:positionH>
            <wp:positionV relativeFrom="paragraph">
              <wp:posOffset>123825</wp:posOffset>
            </wp:positionV>
            <wp:extent cx="756920" cy="419735"/>
            <wp:effectExtent l="0" t="0" r="5080"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6920" cy="41973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bookmarkStart w:id="24" w:name="_GoBack"/>
      <w:bookmarkEnd w:id="24"/>
    </w:p>
    <w:p>
      <w:pPr>
        <w:spacing w:line="360" w:lineRule="auto"/>
        <w:ind w:leftChars="-405" w:hanging="1052" w:hangingChars="403"/>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3"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1E60AF5F"/>
    <w:multiLevelType w:val="singleLevel"/>
    <w:tmpl w:val="1E60AF5F"/>
    <w:lvl w:ilvl="0" w:tentative="0">
      <w:start w:val="6"/>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BA70CA"/>
    <w:rsid w:val="4D9851A6"/>
    <w:rsid w:val="50E52ACC"/>
    <w:rsid w:val="59C7275C"/>
    <w:rsid w:val="71CF2E5A"/>
    <w:rsid w:val="78637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2021-03-29T07:56:36Z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9ADD8E4F610C48E9B3D156D3D4265351</vt:lpwstr>
  </property>
</Properties>
</file>