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成都千吉鑫科技有限公司德阳分公司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宋明珠</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17.10.02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余家龙</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17.10.02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b/>
                <w:color w:val="000000" w:themeColor="text1"/>
                <w:spacing w:val="-10"/>
                <w:szCs w:val="21"/>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GB/T19001-2016/ISO9001:2015</w:t>
      </w:r>
      <w:bookmarkEnd w:id="4"/>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成都千吉鑫科技有限公司德阳分公司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四川省德阳市旌阳区镇江街18号睫园综合楼1幢1-6号</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610000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四川省德阳市绵竹市城东新区105省道(旌湖苑西南）</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610000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王瑞</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18829841889</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文仲华</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奚汉</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机械加工</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17.10.02</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2020-10-15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default"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eastAsia="zh-CN"/>
              </w:rPr>
              <w:t>总经办</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方针、目标管理；文件、记录控制程；管理评审；内审管理；人员、部门职能职责和权限；风险识别评价管理；。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eastAsia" w:ascii="宋体" w:hAnsi="宋体" w:eastAsia="宋体" w:cs="Times New Roman"/>
                <w:b/>
                <w:color w:val="000000" w:themeColor="text1"/>
                <w:kern w:val="2"/>
                <w:sz w:val="20"/>
                <w:szCs w:val="20"/>
                <w:lang w:val="en-US" w:eastAsia="zh-CN" w:bidi="ar-SA"/>
              </w:rPr>
            </w:pPr>
            <w:r>
              <w:rPr>
                <w:rFonts w:hint="eastAsia" w:ascii="宋体" w:hAnsi="宋体" w:eastAsia="宋体"/>
                <w:b/>
                <w:color w:val="000000" w:themeColor="text1"/>
                <w:sz w:val="20"/>
                <w:szCs w:val="20"/>
                <w:lang w:eastAsia="zh-CN"/>
              </w:rPr>
              <w:t>生产部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不合格品控制；纠正和预防措施控制；策划管理；过程监控管理；产品验收管理；监视和测量设备管理；服务过程管理；设备设施管理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市场部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合同管理；采购管理；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center"/>
              <w:rPr>
                <w:rFonts w:ascii="宋体" w:hAnsi="宋体"/>
                <w:b/>
                <w:color w:val="000000" w:themeColor="text1"/>
                <w:spacing w:val="-20"/>
                <w:sz w:val="20"/>
                <w:szCs w:val="20"/>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hint="eastAsia" w:eastAsia="宋体"/>
                <w:b/>
                <w:color w:val="000000" w:themeColor="text1"/>
                <w:sz w:val="20"/>
                <w:szCs w:val="20"/>
                <w:lang w:eastAsia="zh-CN"/>
              </w:rPr>
            </w:pPr>
            <w:r>
              <w:rPr>
                <w:rFonts w:hint="eastAsia"/>
                <w:sz w:val="20"/>
                <w:lang w:eastAsia="zh-CN"/>
              </w:rPr>
              <w:t>机械加工</w:t>
            </w: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spacing w:line="400" w:lineRule="exact"/>
              <w:rPr>
                <w:b/>
                <w:color w:val="000000" w:themeColor="text1"/>
                <w:sz w:val="20"/>
                <w:szCs w:val="20"/>
              </w:rPr>
            </w:pPr>
            <w:r>
              <w:rPr>
                <w:rFonts w:hint="eastAsia" w:ascii="宋体" w:hAnsi="宋体" w:eastAsia="宋体" w:cs="Times New Roman"/>
                <w:szCs w:val="21"/>
              </w:rPr>
              <w:t>机</w:t>
            </w:r>
            <w:r>
              <w:rPr>
                <w:rFonts w:hint="eastAsia" w:ascii="宋体" w:hAnsi="宋体" w:eastAsia="宋体" w:cs="Times New Roman"/>
                <w:szCs w:val="21"/>
                <w:highlight w:val="none"/>
              </w:rPr>
              <w:t>械加工工艺装备基本术语GB/T 1008-2008</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rPr>
              <w:t>机械加工定位、夹紧符号JB/T 5061-2006</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rPr>
              <w:t>械加工工艺守则JB/T 9168-2006</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rPr>
              <w:t>技术产品文件 机械加工定位、夹紧符号表示法GB/T 24740-2009</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rPr>
              <w:t>金属切削机床 术语GB/T 6477-2008</w:t>
            </w:r>
            <w:r>
              <w:rPr>
                <w:rFonts w:hint="eastAsia" w:ascii="宋体" w:hAnsi="宋体" w:eastAsia="宋体" w:cs="Times New Roman"/>
                <w:szCs w:val="21"/>
                <w:highlight w:val="none"/>
                <w:lang w:val="en-US" w:eastAsia="zh-CN"/>
              </w:rPr>
              <w:t>、</w:t>
            </w:r>
            <w:r>
              <w:rPr>
                <w:rFonts w:hint="eastAsia" w:ascii="宋体" w:hAnsi="宋体" w:eastAsia="宋体" w:cs="Times New Roman"/>
                <w:szCs w:val="21"/>
                <w:highlight w:val="none"/>
              </w:rPr>
              <w:t>倒圆半径和倒角高度尺寸的极限偏差数值GB/T1804-2000</w:t>
            </w:r>
            <w:r>
              <w:rPr>
                <w:rFonts w:hint="eastAsia" w:ascii="宋体" w:hAnsi="宋体" w:eastAsia="宋体" w:cs="Times New Roman"/>
                <w:szCs w:val="21"/>
                <w:highlight w:val="none"/>
                <w:lang w:val="en-US" w:eastAsia="zh-CN"/>
              </w:rPr>
              <w:t>、</w:t>
            </w:r>
            <w:r>
              <w:rPr>
                <w:rFonts w:hint="eastAsia" w:ascii="宋体" w:hAnsi="宋体" w:eastAsia="宋体" w:cs="Times New Roman"/>
                <w:szCs w:val="21"/>
                <w:highlight w:val="none"/>
              </w:rPr>
              <w:t>角度尺寸的极限偏差数值GB/T1804-2000</w:t>
            </w:r>
            <w:r>
              <w:rPr>
                <w:rFonts w:hint="eastAsia" w:ascii="宋体" w:hAnsi="宋体" w:eastAsia="宋体" w:cs="Times New Roman"/>
                <w:szCs w:val="21"/>
                <w:highlight w:val="none"/>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10</w:t>
      </w:r>
      <w:r>
        <w:rPr>
          <w:rFonts w:hint="eastAsia"/>
          <w:b/>
          <w:color w:val="000000" w:themeColor="text1"/>
          <w:spacing w:val="-10"/>
          <w:szCs w:val="21"/>
        </w:rPr>
        <w:t>月</w:t>
      </w:r>
      <w:bookmarkStart w:id="20" w:name="OLE_LINK1"/>
      <w:r>
        <w:rPr>
          <w:rFonts w:hint="eastAsia"/>
          <w:b/>
          <w:color w:val="000000" w:themeColor="text1"/>
          <w:spacing w:val="-10"/>
          <w:szCs w:val="21"/>
          <w:lang w:val="en-US" w:eastAsia="zh-CN"/>
        </w:rPr>
        <w:t>15</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4</w:t>
      </w:r>
      <w:r>
        <w:rPr>
          <w:rFonts w:hint="eastAsia"/>
          <w:b/>
          <w:color w:val="000000" w:themeColor="text1"/>
          <w:spacing w:val="-10"/>
          <w:szCs w:val="21"/>
        </w:rPr>
        <w:t>月</w:t>
      </w:r>
      <w:r>
        <w:rPr>
          <w:rFonts w:hint="eastAsia"/>
          <w:b/>
          <w:color w:val="000000" w:themeColor="text1"/>
          <w:spacing w:val="-10"/>
          <w:szCs w:val="21"/>
          <w:lang w:val="en-US" w:eastAsia="zh-CN"/>
        </w:rPr>
        <w:t>1</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20" w:firstLineChars="200"/>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w:t>
            </w:r>
            <w:r>
              <w:rPr>
                <w:rFonts w:hint="eastAsia" w:ascii="宋体" w:hAnsi="宋体"/>
                <w:color w:val="000000" w:themeColor="text1"/>
                <w:lang w:val="en-US" w:eastAsia="zh-CN"/>
              </w:rPr>
              <w:t>8.3</w:t>
            </w:r>
            <w:r>
              <w:rPr>
                <w:rFonts w:hint="eastAsia" w:ascii="宋体" w:hAnsi="宋体"/>
                <w:color w:val="000000" w:themeColor="text1"/>
              </w:rPr>
              <w:t>条款</w:t>
            </w:r>
            <w:r>
              <w:rPr>
                <w:rFonts w:hint="eastAsia" w:ascii="宋体" w:hAnsi="宋体"/>
                <w:color w:val="000000" w:themeColor="text1"/>
                <w:lang w:eastAsia="zh-CN"/>
              </w:rPr>
              <w:t>不</w:t>
            </w:r>
            <w:r>
              <w:rPr>
                <w:rFonts w:hint="eastAsia" w:ascii="宋体" w:hAnsi="宋体"/>
                <w:color w:val="000000" w:themeColor="text1"/>
              </w:rPr>
              <w:t>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w:t>
            </w:r>
            <w:r>
              <w:rPr>
                <w:rFonts w:hint="eastAsia" w:ascii="宋体" w:hAnsi="宋体" w:cs="宋体"/>
                <w:color w:val="000000"/>
                <w:szCs w:val="21"/>
                <w:lang w:eastAsia="zh-CN"/>
              </w:rPr>
              <w:t>会议</w:t>
            </w:r>
            <w:r>
              <w:rPr>
                <w:rFonts w:hint="eastAsia" w:ascii="宋体" w:hAnsi="宋体" w:cs="宋体"/>
                <w:color w:val="000000"/>
                <w:szCs w:val="21"/>
              </w:rPr>
              <w:t>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360" w:lineRule="auto"/>
              <w:ind w:firstLine="402" w:firstLineChars="200"/>
              <w:rPr>
                <w:b/>
                <w:color w:val="000000" w:themeColor="text1"/>
              </w:rPr>
            </w:pPr>
            <w:r>
              <w:rPr>
                <w:b/>
                <w:color w:val="000000" w:themeColor="text1"/>
                <w:sz w:val="20"/>
                <w:szCs w:val="20"/>
              </w:rPr>
              <w:t>3.</w:t>
            </w:r>
            <w:r>
              <w:rPr>
                <w:rFonts w:hint="eastAsia" w:ascii="宋体" w:hAnsi="宋体"/>
                <w:lang w:eastAsia="zh-CN"/>
              </w:rPr>
              <w:t>■</w:t>
            </w:r>
            <w:r>
              <w:rPr>
                <w:rFonts w:hint="eastAsia" w:ascii="宋体" w:hAnsi="宋体"/>
              </w:rPr>
              <w:t xml:space="preserve"> </w:t>
            </w:r>
            <w:r>
              <w:rPr>
                <w:rFonts w:hint="eastAsia" w:ascii="宋体" w:hAnsi="宋体"/>
                <w:b/>
                <w:color w:val="000000" w:themeColor="text1"/>
                <w:sz w:val="20"/>
                <w:szCs w:val="20"/>
              </w:rPr>
              <w:t>质量/</w:t>
            </w:r>
            <w:r>
              <w:rPr>
                <w:rFonts w:hint="eastAsia" w:ascii="宋体" w:hAnsi="宋体"/>
              </w:rPr>
              <w:t xml:space="preserve">□ </w:t>
            </w:r>
            <w:r>
              <w:rPr>
                <w:rFonts w:hint="eastAsia" w:ascii="宋体" w:hAnsi="宋体"/>
                <w:b/>
                <w:color w:val="000000" w:themeColor="text1"/>
                <w:sz w:val="20"/>
                <w:szCs w:val="20"/>
              </w:rPr>
              <w:t>环境/</w:t>
            </w:r>
            <w:r>
              <w:rPr>
                <w:rFonts w:hint="eastAsia" w:ascii="宋体" w:hAnsi="宋体"/>
              </w:rPr>
              <w:t xml:space="preserve">□ </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hint="eastAsia" w:ascii="Times New Roman" w:hAnsi="Times New Roman" w:eastAsia="宋体" w:cs="Times New Roman"/>
                <w:szCs w:val="21"/>
                <w:lang w:eastAsia="zh-CN"/>
              </w:rPr>
              <w:t>“</w:t>
            </w:r>
            <w:r>
              <w:rPr>
                <w:rFonts w:hint="eastAsia" w:ascii="宋体" w:hAnsi="宋体"/>
                <w:szCs w:val="21"/>
              </w:rPr>
              <w:t>质量第一、顾客至上、全员参与、追求卓越</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制定并实施了相关程序和安全生产管理制度，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widowControl/>
              <w:spacing w:line="400" w:lineRule="exact"/>
              <w:rPr>
                <w:rFonts w:hint="eastAsia" w:ascii="宋体" w:hAnsi="宋体"/>
                <w:sz w:val="21"/>
                <w:szCs w:val="21"/>
                <w:lang w:eastAsia="zh-CN"/>
              </w:rPr>
            </w:pPr>
            <w:r>
              <w:rPr>
                <w:rFonts w:hint="eastAsia" w:ascii="宋体" w:hAnsi="宋体"/>
                <w:sz w:val="21"/>
                <w:szCs w:val="21"/>
                <w:lang w:eastAsia="zh-CN"/>
              </w:rPr>
              <w:t>5.QMS过程</w:t>
            </w:r>
          </w:p>
          <w:p>
            <w:pPr>
              <w:widowControl/>
              <w:spacing w:line="400" w:lineRule="exact"/>
              <w:rPr>
                <w:rFonts w:hint="eastAsia" w:ascii="宋体" w:hAnsi="宋体"/>
                <w:sz w:val="21"/>
                <w:szCs w:val="21"/>
                <w:lang w:val="en-US" w:eastAsia="zh-CN"/>
              </w:rPr>
            </w:pPr>
            <w:r>
              <w:rPr>
                <w:rFonts w:hint="eastAsia" w:ascii="宋体" w:hAnsi="宋体"/>
                <w:sz w:val="21"/>
                <w:szCs w:val="21"/>
                <w:lang w:eastAsia="zh-CN"/>
              </w:rPr>
              <w:t>质量管理体系过程有：</w:t>
            </w:r>
          </w:p>
          <w:p>
            <w:pPr>
              <w:adjustRightInd w:val="0"/>
              <w:snapToGrid w:val="0"/>
              <w:spacing w:line="400" w:lineRule="exact"/>
              <w:rPr>
                <w:rFonts w:hint="eastAsia" w:ascii="宋体" w:hAnsi="宋体"/>
                <w:sz w:val="21"/>
                <w:szCs w:val="21"/>
                <w:highlight w:val="none"/>
                <w:lang w:val="en-US" w:eastAsia="zh-CN"/>
              </w:rPr>
            </w:pPr>
            <w:r>
              <w:rPr>
                <w:rFonts w:hint="eastAsia" w:ascii="宋体" w:hAnsi="宋体" w:eastAsia="宋体" w:cs="Times New Roman"/>
                <w:sz w:val="21"/>
                <w:szCs w:val="21"/>
                <w:highlight w:val="none"/>
                <w:lang w:val="en-US" w:eastAsia="zh-CN"/>
              </w:rPr>
              <w:t>来料---粗加工---精加工---清理、打磨毛刺——检验——打印标记——入库</w:t>
            </w:r>
          </w:p>
          <w:p>
            <w:pPr>
              <w:adjustRightInd w:val="0"/>
              <w:snapToGrid w:val="0"/>
              <w:spacing w:line="400" w:lineRule="exact"/>
              <w:rPr>
                <w:rFonts w:hint="default" w:ascii="宋体" w:hAnsi="宋体"/>
                <w:sz w:val="21"/>
                <w:szCs w:val="21"/>
                <w:lang w:val="en-US"/>
              </w:rPr>
            </w:pPr>
            <w:r>
              <w:rPr>
                <w:rFonts w:hint="eastAsia" w:ascii="宋体" w:hAnsi="宋体"/>
                <w:sz w:val="21"/>
                <w:szCs w:val="21"/>
                <w:lang w:val="en-US" w:eastAsia="zh-CN"/>
              </w:rPr>
              <w:t>关键工序</w:t>
            </w:r>
            <w:r>
              <w:rPr>
                <w:rFonts w:hint="eastAsia" w:ascii="宋体" w:hAnsi="宋体"/>
                <w:sz w:val="21"/>
                <w:szCs w:val="21"/>
              </w:rPr>
              <w:t>：</w:t>
            </w:r>
            <w:r>
              <w:rPr>
                <w:rFonts w:hint="eastAsia" w:ascii="宋体" w:hAnsi="宋体"/>
                <w:sz w:val="21"/>
                <w:szCs w:val="21"/>
                <w:lang w:val="en-US" w:eastAsia="zh-CN"/>
              </w:rPr>
              <w:t>精加工</w:t>
            </w:r>
          </w:p>
          <w:p>
            <w:pPr>
              <w:rPr>
                <w:rFonts w:hint="default" w:ascii="宋体" w:hAnsi="宋体"/>
                <w:sz w:val="21"/>
                <w:szCs w:val="21"/>
                <w:lang w:val="en-US" w:eastAsia="zh-CN"/>
              </w:rPr>
            </w:pPr>
            <w:r>
              <w:rPr>
                <w:rFonts w:hint="eastAsia" w:ascii="宋体" w:hAnsi="宋体"/>
                <w:sz w:val="21"/>
                <w:szCs w:val="21"/>
                <w:lang w:val="en-US" w:eastAsia="zh-CN"/>
              </w:rPr>
              <w:t>确认</w:t>
            </w:r>
            <w:r>
              <w:rPr>
                <w:rFonts w:hint="eastAsia" w:ascii="宋体" w:hAnsi="宋体"/>
                <w:sz w:val="21"/>
                <w:szCs w:val="21"/>
                <w:lang w:eastAsia="zh-CN"/>
              </w:rPr>
              <w:t>过程：</w:t>
            </w:r>
            <w:r>
              <w:rPr>
                <w:rFonts w:hint="eastAsia" w:ascii="宋体" w:hAnsi="宋体"/>
                <w:sz w:val="21"/>
                <w:szCs w:val="21"/>
                <w:lang w:val="en-US" w:eastAsia="zh-CN"/>
              </w:rPr>
              <w:t>无</w:t>
            </w:r>
          </w:p>
          <w:p>
            <w:pPr>
              <w:rPr>
                <w:rFonts w:hint="default" w:ascii="宋体" w:hAnsi="宋体"/>
                <w:sz w:val="21"/>
                <w:szCs w:val="21"/>
                <w:lang w:val="en-US" w:eastAsia="zh-CN"/>
              </w:rPr>
            </w:pPr>
            <w:r>
              <w:rPr>
                <w:rFonts w:hint="eastAsia" w:ascii="宋体" w:hAnsi="宋体"/>
                <w:sz w:val="21"/>
                <w:szCs w:val="21"/>
                <w:lang w:val="en-US" w:eastAsia="zh-CN"/>
              </w:rPr>
              <w:t>外包过程：无</w:t>
            </w:r>
          </w:p>
          <w:p>
            <w:pPr>
              <w:spacing w:line="400" w:lineRule="exact"/>
              <w:rPr>
                <w:rFonts w:hint="eastAsia" w:ascii="宋体" w:hAnsi="宋体"/>
                <w:sz w:val="21"/>
                <w:szCs w:val="21"/>
                <w:lang w:eastAsia="zh-CN"/>
              </w:rPr>
            </w:pPr>
            <w:r>
              <w:rPr>
                <w:rFonts w:hint="eastAsia" w:ascii="宋体" w:hAnsi="宋体" w:cs="Times New Roman"/>
                <w:color w:val="000000" w:themeColor="text1"/>
                <w:lang w:eastAsia="zh-CN"/>
              </w:rPr>
              <w:t>8.3不适用，</w:t>
            </w:r>
            <w:r>
              <w:rPr>
                <w:rFonts w:hint="eastAsia" w:ascii="宋体" w:hAnsi="宋体" w:cs="Times New Roman"/>
                <w:kern w:val="2"/>
                <w:sz w:val="21"/>
                <w:szCs w:val="21"/>
                <w:lang w:val="en-US" w:eastAsia="zh-CN" w:bidi="ar-SA"/>
              </w:rPr>
              <w:t>公司机械加工依据国家成熟工艺,按国家标准的生产技术要求生产,因此标准8.3条款“产品和服务的设计和开发”要求不适用。公司确保不适用的质量管理体系的产品和服务的设计和开发要求，不影响组织确保产品和服务合格以及增强顾客满意的能力或责任</w:t>
            </w:r>
            <w:r>
              <w:rPr>
                <w:rFonts w:hint="eastAsia" w:ascii="宋体" w:hAnsi="宋体" w:cs="宋体"/>
                <w:szCs w:val="21"/>
              </w:rPr>
              <w:t>。</w:t>
            </w:r>
            <w:r>
              <w:rPr>
                <w:rFonts w:hint="eastAsia" w:ascii="宋体" w:hAnsi="宋体"/>
                <w:sz w:val="21"/>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01" w:firstLineChars="150"/>
              <w:rPr>
                <w:rFonts w:asciiTheme="minorEastAsia" w:hAnsiTheme="minorEastAsia" w:eastAsiaTheme="minorEastAsia"/>
                <w:b/>
                <w:color w:val="000000" w:themeColor="text1"/>
                <w:sz w:val="20"/>
                <w:szCs w:val="20"/>
              </w:rPr>
            </w:pPr>
            <w:r>
              <w:rPr>
                <w:rFonts w:hint="eastAsia" w:asciiTheme="minorEastAsia" w:hAnsiTheme="minorEastAsia" w:eastAsiaTheme="minor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370" w:firstLineChars="200"/>
              <w:rPr>
                <w:rFonts w:ascii="宋体" w:hAnsi="宋体"/>
                <w:b/>
                <w:color w:val="000000" w:themeColor="text1"/>
                <w:spacing w:val="-8"/>
                <w:sz w:val="20"/>
                <w:szCs w:val="20"/>
              </w:rPr>
            </w:pPr>
            <w:r>
              <w:rPr>
                <w:rFonts w:hint="eastAsia" w:ascii="宋体" w:hAnsi="宋体"/>
                <w:b/>
                <w:color w:val="000000" w:themeColor="text1"/>
                <w:spacing w:val="-8"/>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产品/服务□环境因素□危险源，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300" w:lineRule="exact"/>
              <w:ind w:firstLine="420" w:firstLineChars="200"/>
              <w:rPr>
                <w:rFonts w:hint="eastAsia" w:ascii="宋体" w:hAnsi="宋体" w:cs="宋体"/>
                <w:color w:val="000000"/>
                <w:kern w:val="0"/>
                <w:szCs w:val="21"/>
              </w:rPr>
            </w:pPr>
            <w:r>
              <w:rPr>
                <w:rFonts w:hint="eastAsia"/>
                <w:color w:val="000000"/>
                <w:szCs w:val="21"/>
              </w:rPr>
              <w:t>质</w:t>
            </w:r>
            <w:r>
              <w:rPr>
                <w:rFonts w:hint="eastAsia" w:ascii="宋体" w:hAnsi="宋体" w:cs="宋体"/>
                <w:color w:val="000000"/>
                <w:kern w:val="0"/>
                <w:szCs w:val="21"/>
              </w:rPr>
              <w:t>量目标：</w:t>
            </w:r>
          </w:p>
          <w:p>
            <w:pPr>
              <w:ind w:firstLine="630" w:firstLineChars="300"/>
              <w:rPr>
                <w:rFonts w:hint="eastAsia" w:ascii="宋体" w:hAnsi="宋体" w:cs="宋体"/>
                <w:bCs/>
                <w:sz w:val="21"/>
                <w:szCs w:val="21"/>
              </w:rPr>
            </w:pPr>
            <w:r>
              <w:rPr>
                <w:rFonts w:hint="eastAsia" w:ascii="宋体" w:hAnsi="宋体" w:cs="宋体"/>
                <w:bCs/>
                <w:sz w:val="21"/>
                <w:szCs w:val="21"/>
                <w:lang w:val="en-US" w:eastAsia="zh-CN"/>
              </w:rPr>
              <w:t>1、</w:t>
            </w:r>
            <w:r>
              <w:rPr>
                <w:rFonts w:hint="eastAsia" w:ascii="宋体" w:hAnsi="宋体" w:cs="宋体"/>
                <w:bCs/>
                <w:sz w:val="21"/>
                <w:szCs w:val="21"/>
              </w:rPr>
              <w:t>合同履约达到率100%。</w:t>
            </w:r>
          </w:p>
          <w:p>
            <w:pPr>
              <w:ind w:firstLine="630" w:firstLineChars="3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2、最终产品一次合格率100%</w:t>
            </w:r>
          </w:p>
          <w:p>
            <w:pPr>
              <w:ind w:firstLine="630" w:firstLineChars="300"/>
              <w:rPr>
                <w:rFonts w:ascii="宋体" w:hAnsi="宋体"/>
                <w:b/>
                <w:color w:val="000000" w:themeColor="text1"/>
              </w:rPr>
            </w:pPr>
            <w:r>
              <w:rPr>
                <w:rFonts w:hint="eastAsia" w:ascii="宋体" w:hAnsi="宋体" w:eastAsia="宋体" w:cs="宋体"/>
                <w:bCs/>
                <w:sz w:val="21"/>
                <w:szCs w:val="21"/>
                <w:lang w:val="en-US" w:eastAsia="zh-CN"/>
              </w:rPr>
              <w:t xml:space="preserve">3、顾客满意率＞90%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0" w:firstLineChars="2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rPr>
              <w:t>质量管理</w:t>
            </w:r>
            <w:r>
              <w:rPr>
                <w:rFonts w:hint="eastAsia" w:ascii="宋体" w:hAnsi="宋体" w:cs="宋体"/>
                <w:color w:val="000000" w:themeColor="text1"/>
              </w:rPr>
              <w:t>体系文件，体系文件对管理体系各过程进行了识别确定、明确了各要素间的相互关系及其管控要求。公司体系文件于</w:t>
            </w:r>
            <w:r>
              <w:rPr>
                <w:rFonts w:hint="eastAsia" w:ascii="宋体" w:hAnsi="宋体" w:cs="Arial"/>
                <w:color w:val="000000" w:themeColor="text1"/>
              </w:rPr>
              <w:t>20</w:t>
            </w:r>
            <w:r>
              <w:rPr>
                <w:rFonts w:hint="eastAsia" w:ascii="宋体" w:hAnsi="宋体" w:cs="Arial"/>
                <w:color w:val="000000" w:themeColor="text1"/>
                <w:lang w:val="en-US" w:eastAsia="zh-CN"/>
              </w:rPr>
              <w:t>20</w:t>
            </w:r>
            <w:r>
              <w:rPr>
                <w:rFonts w:hint="eastAsia" w:ascii="宋体" w:hAnsi="宋体" w:cs="宋体"/>
                <w:color w:val="000000" w:themeColor="text1"/>
              </w:rPr>
              <w:t>年</w:t>
            </w:r>
            <w:r>
              <w:rPr>
                <w:rFonts w:hint="eastAsia" w:ascii="宋体" w:hAnsi="宋体" w:cs="宋体"/>
                <w:color w:val="000000" w:themeColor="text1"/>
                <w:lang w:val="en-US" w:eastAsia="zh-CN"/>
              </w:rPr>
              <w:t>10</w:t>
            </w:r>
            <w:r>
              <w:rPr>
                <w:rFonts w:hint="eastAsia" w:ascii="宋体" w:hAnsi="宋体" w:cs="宋体"/>
                <w:color w:val="000000" w:themeColor="text1"/>
              </w:rPr>
              <w:t>月</w:t>
            </w:r>
            <w:r>
              <w:rPr>
                <w:rFonts w:hint="eastAsia" w:ascii="宋体" w:hAnsi="宋体" w:cs="宋体"/>
                <w:color w:val="000000" w:themeColor="text1"/>
                <w:lang w:val="en-US" w:eastAsia="zh-CN"/>
              </w:rPr>
              <w:t>15</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rPr>
              <w:t>产品的生产</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8"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400" w:lineRule="exact"/>
              <w:ind w:firstLine="630" w:firstLineChars="300"/>
              <w:rPr>
                <w:rFonts w:ascii="宋体" w:hAnsi="宋体"/>
                <w:b/>
                <w:color w:val="000000" w:themeColor="text1"/>
                <w:sz w:val="20"/>
                <w:szCs w:val="20"/>
              </w:rPr>
            </w:pPr>
            <w:r>
              <w:rPr>
                <w:rFonts w:hint="eastAsia" w:ascii="宋体" w:hAnsi="宋体"/>
                <w:sz w:val="21"/>
                <w:szCs w:val="21"/>
                <w:highlight w:val="none"/>
              </w:rPr>
              <w:t>厂房面积</w:t>
            </w:r>
            <w:r>
              <w:rPr>
                <w:rFonts w:hint="eastAsia" w:ascii="宋体" w:hAnsi="宋体"/>
                <w:sz w:val="21"/>
                <w:szCs w:val="21"/>
                <w:highlight w:val="none"/>
                <w:lang w:val="en-US" w:eastAsia="zh-CN"/>
              </w:rPr>
              <w:t>1000</w:t>
            </w:r>
            <w:r>
              <w:rPr>
                <w:rFonts w:hint="eastAsia" w:ascii="宋体" w:hAnsi="宋体"/>
                <w:sz w:val="21"/>
                <w:szCs w:val="21"/>
                <w:highlight w:val="none"/>
              </w:rPr>
              <w:t>平方左右，车间、库房分</w:t>
            </w:r>
            <w:r>
              <w:rPr>
                <w:rFonts w:hint="eastAsia" w:ascii="宋体" w:hAnsi="宋体"/>
                <w:sz w:val="21"/>
                <w:szCs w:val="21"/>
                <w:highlight w:val="none"/>
                <w:lang w:eastAsia="zh-CN"/>
              </w:rPr>
              <w:t>区</w:t>
            </w:r>
            <w:r>
              <w:rPr>
                <w:rFonts w:hint="eastAsia" w:ascii="宋体" w:hAnsi="宋体"/>
                <w:sz w:val="21"/>
                <w:szCs w:val="21"/>
                <w:highlight w:val="none"/>
              </w:rPr>
              <w:t>，办公场所面积</w:t>
            </w:r>
            <w:r>
              <w:rPr>
                <w:rFonts w:hint="eastAsia" w:ascii="宋体" w:hAnsi="宋体"/>
                <w:sz w:val="21"/>
                <w:szCs w:val="21"/>
                <w:highlight w:val="none"/>
                <w:lang w:val="en-US" w:eastAsia="zh-CN"/>
              </w:rPr>
              <w:t>100</w:t>
            </w:r>
            <w:r>
              <w:rPr>
                <w:rFonts w:hint="eastAsia" w:ascii="宋体" w:hAnsi="宋体"/>
                <w:sz w:val="21"/>
                <w:szCs w:val="21"/>
                <w:highlight w:val="none"/>
              </w:rPr>
              <w:t>平方。</w:t>
            </w:r>
            <w:r>
              <w:rPr>
                <w:rFonts w:hint="eastAsia" w:ascii="宋体" w:hAnsi="宋体"/>
                <w:bCs/>
                <w:iCs/>
                <w:szCs w:val="22"/>
                <w:lang w:val="en-US" w:eastAsia="zh-CN"/>
              </w:rPr>
              <w:t>主要生产设备包括：</w:t>
            </w:r>
            <w:r>
              <w:rPr>
                <w:rFonts w:hint="eastAsia" w:ascii="宋体" w:hAnsi="宋体" w:eastAsia="宋体"/>
                <w:color w:val="000000"/>
                <w:sz w:val="21"/>
                <w:szCs w:val="21"/>
              </w:rPr>
              <w:t>数控车床</w:t>
            </w:r>
            <w:r>
              <w:rPr>
                <w:rFonts w:hint="eastAsia" w:ascii="宋体" w:hAnsi="宋体" w:eastAsia="宋体"/>
                <w:color w:val="000000"/>
                <w:sz w:val="21"/>
                <w:szCs w:val="21"/>
                <w:lang w:eastAsia="zh-CN"/>
              </w:rPr>
              <w:t>、</w:t>
            </w:r>
            <w:r>
              <w:rPr>
                <w:rFonts w:hint="eastAsia" w:ascii="宋体" w:hAnsi="宋体" w:eastAsia="宋体"/>
                <w:color w:val="000000"/>
                <w:sz w:val="21"/>
                <w:szCs w:val="21"/>
              </w:rPr>
              <w:t>普</w:t>
            </w:r>
            <w:r>
              <w:rPr>
                <w:rFonts w:hint="eastAsia" w:ascii="宋体" w:hAnsi="宋体" w:eastAsia="宋体" w:cs="Times New Roman"/>
                <w:color w:val="auto"/>
                <w:szCs w:val="21"/>
              </w:rPr>
              <w:t>通车床</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平面磨床</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外圆磨床</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加工中心</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镗床</w:t>
            </w:r>
            <w:r>
              <w:rPr>
                <w:rFonts w:hint="eastAsia" w:ascii="宋体" w:hAnsi="宋体" w:cs="宋体"/>
                <w:sz w:val="21"/>
                <w:szCs w:val="21"/>
                <w:highlight w:val="none"/>
                <w:lang w:val="en-US" w:eastAsia="zh-CN"/>
              </w:rPr>
              <w:t>等</w:t>
            </w:r>
            <w:r>
              <w:rPr>
                <w:rFonts w:hint="eastAsia" w:ascii="宋体" w:hAnsi="宋体" w:cs="宋体"/>
                <w:sz w:val="21"/>
                <w:szCs w:val="21"/>
                <w:highlight w:val="none"/>
                <w:lang w:eastAsia="zh-CN"/>
              </w:rPr>
              <w:t>及</w:t>
            </w:r>
            <w:r>
              <w:rPr>
                <w:rFonts w:hint="eastAsia" w:ascii="宋体" w:hAnsi="宋体" w:cs="宋体"/>
                <w:sz w:val="21"/>
                <w:szCs w:val="21"/>
                <w:highlight w:val="none"/>
              </w:rPr>
              <w:t>办公设备</w:t>
            </w:r>
            <w:r>
              <w:rPr>
                <w:rFonts w:hint="eastAsia" w:ascii="宋体" w:hAnsi="宋体" w:cs="宋体"/>
                <w:sz w:val="21"/>
                <w:szCs w:val="21"/>
                <w:highlight w:val="none"/>
                <w:lang w:eastAsia="zh-CN"/>
              </w:rPr>
              <w:t>。</w:t>
            </w:r>
            <w:r>
              <w:rPr>
                <w:rFonts w:hint="eastAsia" w:ascii="宋体" w:hAnsi="宋体"/>
                <w:bCs/>
                <w:iCs/>
                <w:szCs w:val="22"/>
                <w:lang w:val="en-US" w:eastAsia="zh-CN"/>
              </w:rPr>
              <w:t>可以满足产品加工需要。对设备按月方式进行点检维护保养，并实施。特种设备：行车。公司未建立信息管理系统用于生产和服务。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20" w:firstLineChars="200"/>
              <w:rPr>
                <w:rFonts w:ascii="宋体" w:hAnsi="宋体"/>
                <w:b/>
                <w:color w:val="000000" w:themeColor="text1"/>
                <w:sz w:val="20"/>
                <w:szCs w:val="20"/>
              </w:rPr>
            </w:pPr>
            <w:r>
              <w:rPr>
                <w:rFonts w:hint="eastAsia" w:ascii="宋体" w:hAnsi="宋体" w:cs="宋体"/>
                <w:szCs w:val="21"/>
              </w:rPr>
              <w:t>车间内设备布置合理，通道畅通，照明设施齐全，均配备了消防设施等设施。办公室明亮，作业场所光线较充足。每月由生产部对工作环境进行定期检查。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firstLine="402" w:firstLineChars="200"/>
              <w:rPr>
                <w:rFonts w:hint="eastAsia"/>
                <w:color w:val="000000" w:themeColor="text1"/>
                <w:sz w:val="21"/>
                <w:szCs w:val="21"/>
                <w:lang w:eastAsia="zh-CN"/>
              </w:rPr>
            </w:pPr>
            <w:r>
              <w:rPr>
                <w:rFonts w:hint="eastAsia" w:ascii="宋体" w:hAnsi="宋体"/>
                <w:b/>
                <w:color w:val="000000" w:themeColor="text1"/>
                <w:sz w:val="20"/>
                <w:szCs w:val="20"/>
              </w:rPr>
              <w:t>监视和测量资源</w:t>
            </w:r>
          </w:p>
          <w:p>
            <w:pPr>
              <w:spacing w:line="240" w:lineRule="exact"/>
              <w:ind w:firstLine="420" w:firstLineChars="200"/>
              <w:rPr>
                <w:rFonts w:ascii="宋体" w:hAnsi="宋体"/>
                <w:b/>
                <w:color w:val="000000" w:themeColor="text1"/>
                <w:sz w:val="20"/>
                <w:szCs w:val="20"/>
              </w:rPr>
            </w:pPr>
            <w:r>
              <w:rPr>
                <w:rFonts w:hint="eastAsia"/>
                <w:color w:val="auto"/>
                <w:sz w:val="21"/>
                <w:szCs w:val="21"/>
                <w:lang w:eastAsia="zh-CN"/>
              </w:rPr>
              <w:t>公司的监视和测量设施设备主要是</w:t>
            </w:r>
            <w:r>
              <w:rPr>
                <w:rFonts w:hint="eastAsia" w:ascii="宋体" w:hAnsi="宋体" w:cs="Times New Roman"/>
                <w:color w:val="auto"/>
                <w:szCs w:val="21"/>
                <w:highlight w:val="none"/>
                <w:lang w:val="en-US" w:eastAsia="zh-CN"/>
              </w:rPr>
              <w:t>带表内卡规、游标</w:t>
            </w:r>
            <w:r>
              <w:rPr>
                <w:rFonts w:hint="eastAsia" w:ascii="宋体" w:hAnsi="宋体" w:eastAsia="宋体" w:cs="Times New Roman"/>
                <w:color w:val="auto"/>
                <w:szCs w:val="21"/>
                <w:highlight w:val="none"/>
                <w:lang w:val="en-US" w:eastAsia="zh-CN"/>
              </w:rPr>
              <w:t>卡尺</w:t>
            </w:r>
            <w:r>
              <w:rPr>
                <w:rFonts w:hint="eastAsia" w:ascii="宋体" w:hAnsi="宋体" w:cs="Times New Roman"/>
                <w:color w:val="auto"/>
                <w:szCs w:val="21"/>
                <w:highlight w:val="none"/>
                <w:lang w:val="en-US" w:eastAsia="zh-CN"/>
              </w:rPr>
              <w:t>、内径千分尺、外径千分尺</w:t>
            </w:r>
            <w:r>
              <w:rPr>
                <w:rFonts w:hint="eastAsia" w:ascii="宋体" w:hAnsi="宋体" w:eastAsia="宋体" w:cs="Times New Roman"/>
                <w:color w:val="auto"/>
                <w:szCs w:val="21"/>
                <w:highlight w:val="none"/>
                <w:lang w:val="en-US" w:eastAsia="zh-CN"/>
              </w:rPr>
              <w:t>等</w:t>
            </w:r>
            <w:r>
              <w:rPr>
                <w:rFonts w:hint="eastAsia"/>
                <w:color w:val="auto"/>
                <w:sz w:val="21"/>
                <w:szCs w:val="21"/>
                <w:highlight w:val="none"/>
                <w:lang w:eastAsia="zh-CN"/>
              </w:rPr>
              <w:t>，查在用检具的校准证书，提供</w:t>
            </w:r>
            <w:r>
              <w:rPr>
                <w:rFonts w:hint="eastAsia"/>
                <w:color w:val="auto"/>
                <w:sz w:val="21"/>
                <w:szCs w:val="21"/>
                <w:highlight w:val="none"/>
                <w:lang w:val="en-US" w:eastAsia="zh-CN"/>
              </w:rPr>
              <w:t>以上检具的检定或</w:t>
            </w:r>
            <w:r>
              <w:rPr>
                <w:rFonts w:hint="eastAsia"/>
                <w:color w:val="auto"/>
                <w:sz w:val="21"/>
                <w:szCs w:val="21"/>
                <w:highlight w:val="none"/>
                <w:lang w:eastAsia="zh-CN"/>
              </w:rPr>
              <w:t>校准证书</w:t>
            </w:r>
            <w:r>
              <w:rPr>
                <w:rFonts w:hint="eastAsia"/>
                <w:color w:val="auto"/>
                <w:sz w:val="21"/>
                <w:szCs w:val="21"/>
                <w:highlight w:val="none"/>
                <w:lang w:val="en-US" w:eastAsia="zh-CN"/>
              </w:rPr>
              <w:t>已过期</w:t>
            </w:r>
            <w:r>
              <w:rPr>
                <w:rFonts w:hint="eastAsia"/>
                <w:color w:val="auto"/>
                <w:sz w:val="21"/>
                <w:szCs w:val="21"/>
                <w:highlight w:val="none"/>
                <w:lang w:eastAsia="zh-CN"/>
              </w:rPr>
              <w:t>，不符合标准要求。一阶段提出的不符合在二阶段审核时未整改关闭。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rPr>
                <w:rFonts w:ascii="宋体" w:hAnsi="宋体"/>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2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宋体" w:hAnsi="宋体" w:cs="宋体"/>
                <w:color w:val="000000"/>
                <w:szCs w:val="21"/>
              </w:rPr>
              <w:t>内部沟通的效果：良好</w:t>
            </w:r>
          </w:p>
          <w:p>
            <w:pPr>
              <w:spacing w:line="240" w:lineRule="exact"/>
              <w:rPr>
                <w:rFonts w:ascii="楷体_GB2312" w:eastAsia="楷体_GB2312"/>
                <w:b/>
                <w:color w:val="000000" w:themeColor="text1"/>
                <w:sz w:val="20"/>
                <w:szCs w:val="20"/>
              </w:rPr>
            </w:pPr>
          </w:p>
          <w:p>
            <w:pPr>
              <w:spacing w:line="240" w:lineRule="exact"/>
              <w:rPr>
                <w:rFonts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210" w:firstLineChars="100"/>
              <w:rPr>
                <w:rFonts w:hint="eastAsia" w:ascii="宋体" w:hAnsi="宋体"/>
                <w:sz w:val="21"/>
                <w:szCs w:val="21"/>
                <w:lang w:val="en-US" w:eastAsia="zh-CN"/>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 QMS关键工序</w:t>
            </w:r>
            <w:r>
              <w:rPr>
                <w:rFonts w:hint="eastAsia" w:ascii="宋体" w:hAnsi="宋体" w:cs="宋体"/>
                <w:color w:val="000000"/>
                <w:szCs w:val="21"/>
                <w:lang w:eastAsia="zh-CN"/>
              </w:rPr>
              <w:t>：</w:t>
            </w:r>
            <w:r>
              <w:rPr>
                <w:rFonts w:hint="eastAsia" w:ascii="宋体" w:hAnsi="宋体"/>
                <w:sz w:val="21"/>
                <w:szCs w:val="21"/>
                <w:lang w:val="en-US" w:eastAsia="zh-CN"/>
              </w:rPr>
              <w:t>精加工；</w:t>
            </w:r>
          </w:p>
          <w:p>
            <w:pPr>
              <w:spacing w:line="240" w:lineRule="exact"/>
              <w:ind w:firstLine="630" w:firstLineChars="300"/>
              <w:rPr>
                <w:rFonts w:hint="eastAsia" w:eastAsia="宋体"/>
                <w:b/>
                <w:color w:val="000000" w:themeColor="text1"/>
                <w:sz w:val="20"/>
                <w:szCs w:val="20"/>
                <w:lang w:eastAsia="zh-CN"/>
              </w:rPr>
            </w:pPr>
            <w:r>
              <w:rPr>
                <w:rFonts w:hint="eastAsia" w:ascii="宋体" w:hAnsi="宋体"/>
                <w:color w:val="000000" w:themeColor="text1"/>
                <w:lang w:val="en-US" w:eastAsia="zh-CN"/>
              </w:rPr>
              <w:t>确认过程：无。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20" w:firstLineChars="200"/>
              <w:rPr>
                <w:rFonts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b/>
                <w:color w:val="000000" w:themeColor="text1"/>
                <w:sz w:val="20"/>
                <w:szCs w:val="20"/>
              </w:rPr>
            </w:pPr>
            <w:r>
              <w:rPr>
                <w:rFonts w:hint="eastAsia"/>
                <w:b/>
                <w:color w:val="000000" w:themeColor="text1"/>
                <w:sz w:val="20"/>
                <w:szCs w:val="20"/>
              </w:rPr>
              <w:t>(应说明相关证据)：</w:t>
            </w:r>
            <w:r>
              <w:rPr>
                <w:rFonts w:hint="eastAsia"/>
                <w:color w:val="000000" w:themeColor="text1"/>
                <w:sz w:val="20"/>
                <w:szCs w:val="20"/>
              </w:rPr>
              <w:t>验收规范、验收记录等。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420" w:firstLineChars="200"/>
              <w:rPr>
                <w:rFonts w:ascii="宋体" w:hAnsi="宋体" w:cs="宋体"/>
                <w:color w:val="auto"/>
                <w:szCs w:val="21"/>
              </w:rPr>
            </w:pPr>
            <w:r>
              <w:rPr>
                <w:rFonts w:hint="eastAsia" w:ascii="宋体" w:hAnsi="宋体" w:cs="宋体"/>
                <w:color w:val="auto"/>
                <w:szCs w:val="21"/>
              </w:rPr>
              <w:t>无</w:t>
            </w:r>
          </w:p>
          <w:p>
            <w:pPr>
              <w:spacing w:line="240" w:lineRule="exact"/>
              <w:ind w:firstLine="402" w:firstLineChars="200"/>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numPr>
                <w:ilvl w:val="0"/>
                <w:numId w:val="3"/>
              </w:numPr>
              <w:spacing w:line="240" w:lineRule="exact"/>
              <w:rPr>
                <w:rFonts w:hint="eastAsia"/>
              </w:rPr>
            </w:pPr>
            <w:r>
              <w:rPr>
                <w:rFonts w:hint="eastAsia"/>
              </w:rPr>
              <w:t>对特种设备的维护; （适用时）</w:t>
            </w:r>
          </w:p>
          <w:p>
            <w:pPr>
              <w:spacing w:line="400" w:lineRule="exact"/>
              <w:rPr>
                <w:rFonts w:hint="default"/>
                <w:lang w:val="en-US" w:eastAsia="zh-CN"/>
              </w:rPr>
            </w:pPr>
            <w:r>
              <w:rPr>
                <w:rFonts w:hint="eastAsia"/>
                <w:color w:val="000000" w:themeColor="text1"/>
                <w:sz w:val="21"/>
                <w:szCs w:val="21"/>
                <w:lang w:val="en-US" w:eastAsia="zh-CN"/>
              </w:rPr>
              <w:t>定期对特种设备行车进行检修和日常点检、维护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color w:val="000000" w:themeColor="text1"/>
                <w:sz w:val="20"/>
                <w:szCs w:val="20"/>
              </w:rPr>
              <w:t>11 .对危险化学品销售、使用、储存、运输处置，规定的执行力度(必要时);</w:t>
            </w:r>
            <w:r>
              <w:rPr>
                <w:rFonts w:hint="eastAsia"/>
                <w:b/>
                <w:color w:val="FF0000"/>
                <w:sz w:val="20"/>
                <w:szCs w:val="20"/>
              </w:rPr>
              <w:t xml:space="preserve"> </w:t>
            </w:r>
            <w:r>
              <w:rPr>
                <w:rFonts w:hint="eastAsia"/>
                <w:b/>
                <w:sz w:val="20"/>
                <w:szCs w:val="20"/>
              </w:rPr>
              <w:t>（适用时）</w:t>
            </w:r>
          </w:p>
          <w:p>
            <w:pPr>
              <w:spacing w:line="240" w:lineRule="exact"/>
              <w:rPr>
                <w:color w:val="FF0000"/>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525" w:firstLineChars="2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w:t>
            </w:r>
            <w:r>
              <w:rPr>
                <w:rFonts w:hint="eastAsia" w:ascii="宋体" w:hAnsi="宋体" w:cs="宋体"/>
                <w:color w:val="auto"/>
                <w:szCs w:val="21"/>
              </w:rPr>
              <w:t>通过20</w:t>
            </w:r>
            <w:r>
              <w:rPr>
                <w:rFonts w:hint="eastAsia" w:ascii="宋体" w:hAnsi="宋体" w:cs="宋体"/>
                <w:color w:val="auto"/>
                <w:szCs w:val="21"/>
                <w:lang w:val="en-US" w:eastAsia="zh-CN"/>
              </w:rPr>
              <w:t>20</w:t>
            </w:r>
            <w:r>
              <w:rPr>
                <w:rFonts w:hint="eastAsia" w:ascii="宋体" w:hAnsi="宋体" w:cs="宋体"/>
                <w:color w:val="auto"/>
                <w:szCs w:val="21"/>
              </w:rPr>
              <w:t>年</w:t>
            </w:r>
            <w:r>
              <w:rPr>
                <w:rFonts w:hint="eastAsia" w:ascii="宋体" w:hAnsi="宋体" w:cs="宋体"/>
                <w:color w:val="auto"/>
                <w:szCs w:val="21"/>
                <w:lang w:val="en-US" w:eastAsia="zh-CN"/>
              </w:rPr>
              <w:t>10月</w:t>
            </w:r>
            <w:r>
              <w:rPr>
                <w:rFonts w:hint="eastAsia" w:ascii="宋体" w:hAnsi="宋体" w:cs="宋体"/>
                <w:color w:val="auto"/>
                <w:szCs w:val="21"/>
              </w:rPr>
              <w:t>-</w:t>
            </w:r>
            <w:r>
              <w:rPr>
                <w:rFonts w:hint="eastAsia" w:ascii="宋体" w:hAnsi="宋体" w:cs="宋体"/>
                <w:color w:val="auto"/>
                <w:szCs w:val="21"/>
                <w:lang w:val="en-US" w:eastAsia="zh-CN"/>
              </w:rPr>
              <w:t>2021年3</w:t>
            </w:r>
            <w:r>
              <w:rPr>
                <w:rFonts w:hint="eastAsia" w:ascii="宋体" w:hAnsi="宋体" w:cs="宋体"/>
                <w:color w:val="auto"/>
                <w:szCs w:val="21"/>
              </w:rPr>
              <w:t>月目</w:t>
            </w:r>
            <w:r>
              <w:rPr>
                <w:rFonts w:hint="eastAsia" w:ascii="宋体" w:hAnsi="宋体" w:cs="宋体"/>
                <w:color w:val="000000"/>
                <w:szCs w:val="21"/>
              </w:rPr>
              <w:t>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rPr>
              <w:t>公司建立了顾客满意度监视和测量控制程序，对顾客投诉处理及顾客满意度评价做了明确的规定，并按规定对顾客反馈及时处理，但在顾客反馈信</w:t>
            </w:r>
            <w:r>
              <w:rPr>
                <w:rFonts w:hint="eastAsia" w:ascii="宋体" w:hAnsi="宋体" w:cs="宋体"/>
                <w:color w:val="000000"/>
                <w:szCs w:val="21"/>
                <w:highlight w:val="none"/>
              </w:rPr>
              <w:t>息的利用上不够，需要改善。近年来未发生重大顾客投诉和产品质量事故。顾客满意度调查按规定实施，20</w:t>
            </w:r>
            <w:r>
              <w:rPr>
                <w:rFonts w:hint="eastAsia" w:ascii="宋体" w:hAnsi="宋体" w:cs="宋体"/>
                <w:color w:val="000000"/>
                <w:szCs w:val="21"/>
                <w:highlight w:val="none"/>
                <w:lang w:val="en-US" w:eastAsia="zh-CN"/>
              </w:rPr>
              <w:t>20</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12</w:t>
            </w:r>
            <w:r>
              <w:rPr>
                <w:rFonts w:hint="eastAsia" w:ascii="宋体" w:hAnsi="宋体" w:cs="宋体"/>
                <w:color w:val="000000"/>
                <w:szCs w:val="21"/>
                <w:highlight w:val="none"/>
              </w:rPr>
              <w:t>月实施，满意度评价</w:t>
            </w:r>
            <w:r>
              <w:rPr>
                <w:rFonts w:hint="eastAsia" w:ascii="宋体" w:hAnsi="宋体" w:cs="宋体"/>
                <w:color w:val="000000"/>
                <w:szCs w:val="21"/>
                <w:highlight w:val="none"/>
                <w:lang w:val="en-US" w:eastAsia="zh-CN"/>
              </w:rPr>
              <w:t>98分</w:t>
            </w:r>
            <w:r>
              <w:rPr>
                <w:rFonts w:hint="eastAsia" w:ascii="宋体" w:hAnsi="宋体" w:cs="宋体"/>
                <w:color w:val="000000"/>
                <w:szCs w:val="21"/>
                <w:highlight w:val="none"/>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auto"/>
                <w:sz w:val="20"/>
                <w:szCs w:val="20"/>
                <w:highlight w:val="none"/>
              </w:rPr>
            </w:pPr>
            <w:r>
              <w:rPr>
                <w:rFonts w:hint="eastAsia"/>
                <w:b/>
                <w:color w:val="auto"/>
                <w:sz w:val="20"/>
                <w:szCs w:val="20"/>
                <w:highlight w:val="none"/>
              </w:rPr>
              <w:t>3. 内审（包括内审策划审核方案中考虑拟审核的过程和区域的状况和重要性）</w:t>
            </w:r>
          </w:p>
          <w:p>
            <w:pPr>
              <w:spacing w:line="400" w:lineRule="exact"/>
              <w:rPr>
                <w:b/>
                <w:color w:val="FF0000"/>
                <w:sz w:val="20"/>
                <w:szCs w:val="20"/>
              </w:rPr>
            </w:pPr>
            <w:r>
              <w:rPr>
                <w:rFonts w:hint="eastAsia" w:ascii="宋体" w:hAnsi="宋体" w:cs="宋体"/>
                <w:color w:val="auto"/>
                <w:szCs w:val="21"/>
                <w:highlight w:val="none"/>
              </w:rPr>
              <w:t>建立有《内部审核控制程序》，规定了内审频次一年一次，内审时间</w:t>
            </w:r>
            <w:r>
              <w:rPr>
                <w:rFonts w:hint="eastAsia" w:ascii="宋体" w:hAnsi="宋体" w:cs="宋体"/>
                <w:color w:val="auto"/>
                <w:szCs w:val="21"/>
                <w:highlight w:val="none"/>
                <w:lang w:eastAsia="zh-CN"/>
              </w:rPr>
              <w:t>：</w:t>
            </w:r>
            <w:r>
              <w:rPr>
                <w:rFonts w:hint="eastAsia"/>
                <w:color w:val="auto"/>
                <w:sz w:val="21"/>
                <w:szCs w:val="21"/>
                <w:highlight w:val="none"/>
                <w:lang w:eastAsia="zh-CN"/>
              </w:rPr>
              <w:t>202</w:t>
            </w:r>
            <w:r>
              <w:rPr>
                <w:rFonts w:hint="eastAsia"/>
                <w:color w:val="auto"/>
                <w:sz w:val="21"/>
                <w:szCs w:val="21"/>
                <w:highlight w:val="none"/>
                <w:lang w:val="en-US" w:eastAsia="zh-CN"/>
              </w:rPr>
              <w:t>1</w:t>
            </w:r>
            <w:r>
              <w:rPr>
                <w:rFonts w:hint="eastAsia"/>
                <w:color w:val="auto"/>
                <w:sz w:val="21"/>
                <w:szCs w:val="21"/>
                <w:highlight w:val="none"/>
                <w:lang w:eastAsia="zh-CN"/>
              </w:rPr>
              <w:t>年</w:t>
            </w:r>
            <w:r>
              <w:rPr>
                <w:rFonts w:hint="eastAsia"/>
                <w:color w:val="auto"/>
                <w:sz w:val="21"/>
                <w:szCs w:val="21"/>
                <w:highlight w:val="none"/>
                <w:lang w:val="en-US" w:eastAsia="zh-CN"/>
              </w:rPr>
              <w:t>3</w:t>
            </w:r>
            <w:r>
              <w:rPr>
                <w:rFonts w:hint="eastAsia"/>
                <w:color w:val="auto"/>
                <w:sz w:val="21"/>
                <w:szCs w:val="21"/>
                <w:highlight w:val="none"/>
                <w:lang w:eastAsia="zh-CN"/>
              </w:rPr>
              <w:t>月</w:t>
            </w:r>
            <w:r>
              <w:rPr>
                <w:rFonts w:hint="eastAsia"/>
                <w:color w:val="auto"/>
                <w:sz w:val="21"/>
                <w:szCs w:val="21"/>
                <w:highlight w:val="none"/>
                <w:lang w:val="en-US" w:eastAsia="zh-CN"/>
              </w:rPr>
              <w:t>1</w:t>
            </w:r>
            <w:r>
              <w:rPr>
                <w:rFonts w:hint="eastAsia"/>
                <w:color w:val="auto"/>
                <w:sz w:val="21"/>
                <w:szCs w:val="21"/>
                <w:highlight w:val="none"/>
                <w:lang w:eastAsia="zh-CN"/>
              </w:rPr>
              <w:t>日</w:t>
            </w:r>
            <w:r>
              <w:rPr>
                <w:rFonts w:hint="eastAsia"/>
                <w:color w:val="auto"/>
                <w:sz w:val="21"/>
                <w:szCs w:val="21"/>
                <w:highlight w:val="none"/>
                <w:lang w:val="en-US" w:eastAsia="zh-CN"/>
              </w:rPr>
              <w:t>-</w:t>
            </w:r>
            <w:r>
              <w:rPr>
                <w:rFonts w:hint="eastAsia"/>
                <w:color w:val="auto"/>
                <w:sz w:val="21"/>
                <w:szCs w:val="21"/>
                <w:highlight w:val="none"/>
                <w:lang w:eastAsia="zh-CN"/>
              </w:rPr>
              <w:t>202</w:t>
            </w:r>
            <w:r>
              <w:rPr>
                <w:rFonts w:hint="eastAsia"/>
                <w:color w:val="auto"/>
                <w:sz w:val="21"/>
                <w:szCs w:val="21"/>
                <w:highlight w:val="none"/>
                <w:lang w:val="en-US" w:eastAsia="zh-CN"/>
              </w:rPr>
              <w:t>1</w:t>
            </w:r>
            <w:r>
              <w:rPr>
                <w:rFonts w:hint="eastAsia"/>
                <w:color w:val="auto"/>
                <w:sz w:val="21"/>
                <w:szCs w:val="21"/>
                <w:highlight w:val="none"/>
                <w:lang w:eastAsia="zh-CN"/>
              </w:rPr>
              <w:t>年</w:t>
            </w:r>
            <w:r>
              <w:rPr>
                <w:rFonts w:hint="eastAsia"/>
                <w:color w:val="auto"/>
                <w:sz w:val="21"/>
                <w:szCs w:val="21"/>
                <w:highlight w:val="none"/>
                <w:lang w:val="en-US" w:eastAsia="zh-CN"/>
              </w:rPr>
              <w:t>3</w:t>
            </w:r>
            <w:r>
              <w:rPr>
                <w:rFonts w:hint="eastAsia"/>
                <w:color w:val="auto"/>
                <w:sz w:val="21"/>
                <w:szCs w:val="21"/>
                <w:highlight w:val="none"/>
                <w:lang w:eastAsia="zh-CN"/>
              </w:rPr>
              <w:t>月</w:t>
            </w:r>
            <w:r>
              <w:rPr>
                <w:rFonts w:hint="eastAsia"/>
                <w:color w:val="auto"/>
                <w:sz w:val="21"/>
                <w:szCs w:val="21"/>
                <w:highlight w:val="none"/>
                <w:lang w:val="en-US" w:eastAsia="zh-CN"/>
              </w:rPr>
              <w:t>2</w:t>
            </w:r>
            <w:r>
              <w:rPr>
                <w:rFonts w:hint="eastAsia"/>
                <w:color w:val="auto"/>
                <w:sz w:val="21"/>
                <w:szCs w:val="21"/>
                <w:highlight w:val="none"/>
                <w:lang w:eastAsia="zh-CN"/>
              </w:rPr>
              <w:t>日</w:t>
            </w:r>
            <w:r>
              <w:rPr>
                <w:rFonts w:hint="eastAsia" w:ascii="宋体" w:hAnsi="宋体" w:cs="宋体"/>
                <w:color w:val="auto"/>
                <w:szCs w:val="21"/>
                <w:highlight w:val="none"/>
              </w:rPr>
              <w:t>，拟定了审核实施表，明确了内审范围，内审人员经培训合格上岗，能力满足要求，未出现审核本部门情况，内审不符合项</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项</w:t>
            </w:r>
            <w:r>
              <w:rPr>
                <w:rFonts w:hint="eastAsia"/>
                <w:color w:val="auto"/>
                <w:sz w:val="21"/>
                <w:szCs w:val="21"/>
                <w:highlight w:val="none"/>
              </w:rPr>
              <w:t xml:space="preserve"> </w:t>
            </w:r>
            <w:r>
              <w:rPr>
                <w:rFonts w:hint="eastAsia"/>
                <w:color w:val="auto"/>
                <w:sz w:val="21"/>
                <w:szCs w:val="21"/>
                <w:highlight w:val="none"/>
                <w:lang w:eastAsia="zh-CN"/>
              </w:rPr>
              <w:t>，</w:t>
            </w:r>
            <w:r>
              <w:rPr>
                <w:rFonts w:hint="eastAsia" w:ascii="宋体" w:hAnsi="宋体" w:eastAsia="宋体" w:cs="宋体"/>
                <w:color w:val="000000"/>
                <w:kern w:val="2"/>
                <w:sz w:val="21"/>
                <w:szCs w:val="24"/>
                <w:lang w:val="en-US" w:eastAsia="zh-CN" w:bidi="ar-SA"/>
              </w:rPr>
              <w:t>涉及</w:t>
            </w:r>
            <w:r>
              <w:rPr>
                <w:rFonts w:hint="eastAsia" w:ascii="宋体" w:hAnsi="宋体" w:cs="宋体"/>
                <w:color w:val="000000"/>
                <w:kern w:val="2"/>
                <w:sz w:val="21"/>
                <w:szCs w:val="24"/>
                <w:lang w:val="en-US" w:eastAsia="zh-CN" w:bidi="ar-SA"/>
              </w:rPr>
              <w:t>总经办</w:t>
            </w:r>
            <w:r>
              <w:rPr>
                <w:rFonts w:hint="eastAsia" w:ascii="宋体" w:hAnsi="宋体" w:eastAsia="宋体" w:cs="宋体"/>
                <w:color w:val="000000"/>
                <w:kern w:val="2"/>
                <w:sz w:val="21"/>
                <w:szCs w:val="24"/>
                <w:lang w:val="en-US" w:eastAsia="zh-CN" w:bidi="ar-SA"/>
              </w:rPr>
              <w:t>Q6.1</w:t>
            </w:r>
            <w:r>
              <w:rPr>
                <w:rFonts w:hint="eastAsia" w:ascii="宋体" w:hAnsi="宋体" w:eastAsia="宋体" w:cs="Times New Roman"/>
                <w:color w:val="auto"/>
                <w:kern w:val="2"/>
                <w:sz w:val="21"/>
                <w:szCs w:val="21"/>
                <w:lang w:val="en-US" w:eastAsia="zh-CN" w:bidi="ar-SA"/>
              </w:rPr>
              <w:t>条款未更新法律法规，针对该不符合项，已及时采取纠正措施后，经内审员验证关闭</w:t>
            </w:r>
            <w:r>
              <w:rPr>
                <w:rFonts w:hint="eastAsia"/>
                <w:color w:val="auto"/>
                <w:szCs w:val="21"/>
                <w:highlight w:val="none"/>
              </w:rPr>
              <w:t>。</w:t>
            </w:r>
            <w:r>
              <w:rPr>
                <w:rFonts w:hint="eastAsia" w:ascii="宋体" w:hAnsi="宋体" w:cs="宋体"/>
                <w:color w:val="auto"/>
                <w:szCs w:val="21"/>
                <w:highlight w:val="none"/>
              </w:rPr>
              <w:t>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ind w:firstLine="420" w:firstLineChars="200"/>
              <w:rPr>
                <w:b/>
                <w:color w:val="000000" w:themeColor="text1"/>
                <w:sz w:val="20"/>
                <w:szCs w:val="20"/>
              </w:rPr>
            </w:pPr>
            <w:r>
              <w:rPr>
                <w:rFonts w:hint="eastAsia" w:ascii="宋体" w:hAnsi="宋体" w:cs="宋体"/>
                <w:szCs w:val="21"/>
              </w:rPr>
              <w:t>管理评审频次为一年一次、本次管理评审于</w:t>
            </w:r>
            <w:r>
              <w:rPr>
                <w:rFonts w:hint="eastAsia" w:ascii="宋体" w:hAnsi="宋体"/>
                <w:kern w:val="0"/>
                <w:sz w:val="21"/>
                <w:szCs w:val="21"/>
                <w:lang w:eastAsia="zh-CN"/>
              </w:rPr>
              <w:t>202</w:t>
            </w:r>
            <w:r>
              <w:rPr>
                <w:rFonts w:hint="eastAsia" w:ascii="宋体" w:hAnsi="宋体"/>
                <w:kern w:val="0"/>
                <w:sz w:val="21"/>
                <w:szCs w:val="21"/>
                <w:lang w:val="en-US" w:eastAsia="zh-CN"/>
              </w:rPr>
              <w:t>1</w:t>
            </w:r>
            <w:r>
              <w:rPr>
                <w:rFonts w:hint="eastAsia" w:ascii="宋体" w:hAnsi="宋体"/>
                <w:kern w:val="0"/>
                <w:sz w:val="21"/>
                <w:szCs w:val="21"/>
                <w:lang w:eastAsia="zh-CN"/>
              </w:rPr>
              <w:t>年</w:t>
            </w:r>
            <w:r>
              <w:rPr>
                <w:rFonts w:hint="eastAsia" w:ascii="宋体" w:hAnsi="宋体"/>
                <w:kern w:val="0"/>
                <w:sz w:val="21"/>
                <w:szCs w:val="21"/>
                <w:lang w:val="en-US" w:eastAsia="zh-CN"/>
              </w:rPr>
              <w:t>3</w:t>
            </w:r>
            <w:r>
              <w:rPr>
                <w:rFonts w:hint="eastAsia" w:ascii="宋体" w:hAnsi="宋体"/>
                <w:kern w:val="0"/>
                <w:sz w:val="21"/>
                <w:szCs w:val="21"/>
                <w:lang w:eastAsia="zh-CN"/>
              </w:rPr>
              <w:t>月</w:t>
            </w:r>
            <w:r>
              <w:rPr>
                <w:rFonts w:hint="eastAsia" w:ascii="宋体" w:hAnsi="宋体"/>
                <w:kern w:val="0"/>
                <w:sz w:val="21"/>
                <w:szCs w:val="21"/>
                <w:lang w:val="en-US" w:eastAsia="zh-CN"/>
              </w:rPr>
              <w:t>20</w:t>
            </w:r>
            <w:r>
              <w:rPr>
                <w:rFonts w:hint="eastAsia" w:ascii="宋体" w:hAnsi="宋体"/>
                <w:kern w:val="0"/>
                <w:sz w:val="21"/>
                <w:szCs w:val="21"/>
              </w:rPr>
              <w:t>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w:t>
            </w:r>
            <w:r>
              <w:rPr>
                <w:rFonts w:hint="eastAsia" w:ascii="宋体" w:hAnsi="宋体" w:cs="宋体"/>
                <w:szCs w:val="21"/>
                <w:lang w:eastAsia="zh-CN"/>
              </w:rPr>
              <w:t>输入、</w:t>
            </w:r>
            <w:r>
              <w:rPr>
                <w:rFonts w:hint="eastAsia" w:ascii="宋体" w:hAnsi="宋体" w:cs="宋体"/>
                <w:szCs w:val="21"/>
              </w:rPr>
              <w:t>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r>
              <w:rPr>
                <w:rFonts w:hint="eastAsia"/>
                <w:b/>
                <w:color w:val="000000" w:themeColor="text1"/>
                <w:sz w:val="20"/>
                <w:szCs w:val="20"/>
              </w:rPr>
              <w:t>/</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FF0000"/>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numPr>
                <w:ilvl w:val="0"/>
                <w:numId w:val="4"/>
              </w:numPr>
              <w:spacing w:line="240" w:lineRule="exact"/>
              <w:rPr>
                <w:rFonts w:hint="eastAsia"/>
                <w:b/>
                <w:color w:val="000000" w:themeColor="text1"/>
                <w:spacing w:val="-20"/>
                <w:sz w:val="20"/>
                <w:szCs w:val="20"/>
              </w:rPr>
            </w:pPr>
            <w:r>
              <w:rPr>
                <w:rFonts w:hint="eastAsia"/>
                <w:b/>
                <w:color w:val="000000" w:themeColor="text1"/>
                <w:spacing w:val="-20"/>
                <w:sz w:val="20"/>
                <w:szCs w:val="20"/>
              </w:rPr>
              <w:t>一阶段提出问题的整改情况?</w:t>
            </w:r>
          </w:p>
          <w:p>
            <w:pPr>
              <w:numPr>
                <w:ilvl w:val="0"/>
                <w:numId w:val="0"/>
              </w:numPr>
              <w:spacing w:line="240" w:lineRule="exact"/>
              <w:rPr>
                <w:rFonts w:hint="eastAsia" w:eastAsia="宋体"/>
                <w:b/>
                <w:color w:val="FF0000"/>
                <w:spacing w:val="-20"/>
                <w:sz w:val="20"/>
                <w:szCs w:val="20"/>
                <w:highlight w:val="none"/>
                <w:lang w:eastAsia="zh-CN"/>
              </w:rPr>
            </w:pPr>
            <w:r>
              <w:rPr>
                <w:rFonts w:hint="eastAsia"/>
                <w:b/>
                <w:color w:val="000000" w:themeColor="text1"/>
                <w:spacing w:val="-20"/>
                <w:sz w:val="20"/>
                <w:szCs w:val="20"/>
                <w:highlight w:val="none"/>
                <w:lang w:eastAsia="zh-CN"/>
              </w:rPr>
              <w:t>二阶段审核时开具的不符合项已关闭</w:t>
            </w:r>
            <w:r>
              <w:rPr>
                <w:rFonts w:hint="eastAsia"/>
                <w:b/>
                <w:color w:val="FF0000"/>
                <w:spacing w:val="-20"/>
                <w:sz w:val="20"/>
                <w:szCs w:val="20"/>
                <w:highlight w:val="none"/>
                <w:lang w:eastAsia="zh-CN"/>
              </w:rPr>
              <w:t>。</w:t>
            </w:r>
          </w:p>
          <w:p>
            <w:pPr>
              <w:spacing w:line="240" w:lineRule="exact"/>
              <w:rPr>
                <w:b/>
                <w:color w:val="000000" w:themeColor="text1"/>
                <w:spacing w:val="-2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auto"/>
          <w:highlight w:val="none"/>
        </w:rPr>
      </w:pPr>
      <w:r>
        <w:rPr>
          <w:rFonts w:hint="eastAsia"/>
          <w:b/>
          <w:color w:val="auto"/>
          <w:highlight w:val="none"/>
        </w:rPr>
        <w:t>1. 本次审核共开具不符合项报告</w:t>
      </w:r>
      <w:r>
        <w:rPr>
          <w:rFonts w:hint="eastAsia"/>
          <w:b/>
          <w:color w:val="auto"/>
          <w:highlight w:val="none"/>
          <w:lang w:val="en-US" w:eastAsia="zh-CN"/>
        </w:rPr>
        <w:t>1</w:t>
      </w:r>
      <w:r>
        <w:rPr>
          <w:rFonts w:hint="eastAsia"/>
          <w:b/>
          <w:color w:val="auto"/>
          <w:highlight w:val="none"/>
        </w:rPr>
        <w:t>项；其中</w:t>
      </w:r>
      <w:r>
        <w:rPr>
          <w:b/>
          <w:color w:val="auto"/>
          <w:highlight w:val="none"/>
        </w:rPr>
        <w:pict>
          <v:line id="直接连接符 1" o:spid="_x0000_s1028" o:spt="20" style="position:absolute;left:0pt;margin-left:210pt;margin-top:16.2pt;height:0pt;width:0pt;z-index:251659264;mso-width-relative:page;mso-height-relative:page;" coordsize="21600,21600" o:allowincell="f">
            <v:path arrowok="t"/>
            <v:fill focussize="0,0"/>
            <v:stroke/>
            <v:imagedata o:title=""/>
            <o:lock v:ext="edit"/>
          </v:line>
        </w:pict>
      </w:r>
      <w:r>
        <w:rPr>
          <w:rFonts w:hint="eastAsia"/>
          <w:b/>
          <w:color w:val="auto"/>
          <w:highlight w:val="none"/>
        </w:rPr>
        <w:t>严重不符合</w:t>
      </w:r>
      <w:r>
        <w:rPr>
          <w:rFonts w:hint="eastAsia"/>
          <w:b/>
          <w:color w:val="auto"/>
          <w:highlight w:val="none"/>
          <w:lang w:val="en-US" w:eastAsia="zh-CN"/>
        </w:rPr>
        <w:t>0</w:t>
      </w:r>
      <w:r>
        <w:rPr>
          <w:rFonts w:hint="eastAsia"/>
          <w:b/>
          <w:color w:val="auto"/>
          <w:highlight w:val="none"/>
        </w:rPr>
        <w:t>项，一般不符合</w:t>
      </w:r>
      <w:r>
        <w:rPr>
          <w:rFonts w:hint="eastAsia"/>
          <w:b/>
          <w:color w:val="auto"/>
          <w:highlight w:val="none"/>
          <w:lang w:val="en-US" w:eastAsia="zh-CN"/>
        </w:rPr>
        <w:t>1</w:t>
      </w:r>
      <w:r>
        <w:rPr>
          <w:rFonts w:hint="eastAsia"/>
          <w:b/>
          <w:color w:val="auto"/>
          <w:highlight w:val="none"/>
        </w:rPr>
        <w:t>项，观察项项分布在</w:t>
      </w:r>
      <w:r>
        <w:rPr>
          <w:rFonts w:hint="eastAsia"/>
          <w:b/>
          <w:color w:val="auto"/>
          <w:highlight w:val="none"/>
          <w:lang w:val="en-US" w:eastAsia="zh-CN"/>
        </w:rPr>
        <w:t>生产部</w:t>
      </w:r>
      <w:r>
        <w:rPr>
          <w:rFonts w:hint="eastAsia"/>
          <w:b/>
          <w:color w:val="auto"/>
          <w:highlight w:val="none"/>
        </w:rPr>
        <w:t>门</w:t>
      </w:r>
      <w:r>
        <w:rPr>
          <w:rFonts w:hint="eastAsia"/>
          <w:b/>
          <w:color w:val="auto"/>
          <w:highlight w:val="none"/>
          <w:lang w:val="en-US" w:eastAsia="zh-CN"/>
        </w:rPr>
        <w:t>Q7.1.5</w:t>
      </w:r>
      <w:r>
        <w:rPr>
          <w:rFonts w:hint="eastAsia"/>
          <w:b/>
          <w:color w:val="auto"/>
          <w:highlight w:val="none"/>
        </w:rPr>
        <w:t>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ascii="宋体" w:hAnsi="宋体" w:eastAsia="宋体" w:cs="宋体"/>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hint="eastAsia" w:ascii="宋体" w:hAnsi="宋体" w:eastAsia="宋体"/>
          <w:b/>
          <w:color w:val="000000" w:themeColor="text1"/>
          <w:szCs w:val="21"/>
          <w:lang w:val="en-US" w:eastAsia="zh-CN"/>
        </w:rPr>
      </w:pPr>
      <w:r>
        <w:rPr>
          <w:rFonts w:hint="eastAsia"/>
          <w:b/>
          <w:color w:val="000000" w:themeColor="text1"/>
          <w:spacing w:val="-10"/>
          <w:szCs w:val="21"/>
          <w:lang w:eastAsia="zh-CN"/>
        </w:rPr>
        <w:t>■</w:t>
      </w:r>
      <w:r>
        <w:rPr>
          <w:rFonts w:hint="eastAsia" w:ascii="宋体" w:hAnsi="宋体"/>
          <w:b/>
          <w:color w:val="000000" w:themeColor="text1"/>
          <w:szCs w:val="21"/>
        </w:rPr>
        <w:t>可能影响本次审核结论可靠性的因素：</w:t>
      </w:r>
      <w:r>
        <w:rPr>
          <w:rFonts w:hint="eastAsia" w:ascii="宋体" w:hAnsi="宋体"/>
          <w:b/>
          <w:color w:val="000000" w:themeColor="text1"/>
          <w:szCs w:val="21"/>
          <w:lang w:val="en-US" w:eastAsia="zh-CN"/>
        </w:rPr>
        <w:t>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pacing w:line="360" w:lineRule="auto"/>
        <w:ind w:left="1" w:leftChars="-472" w:hanging="992" w:hangingChars="380"/>
        <w:rPr>
          <w:rFonts w:hint="eastAsia"/>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5"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3"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hint="eastAsia" w:ascii="宋体" w:hAnsi="宋体" w:eastAsia="宋体"/>
                <w:b/>
                <w:color w:val="000000" w:themeColor="text1"/>
                <w:u w:val="single"/>
                <w:lang w:eastAsia="zh-CN"/>
              </w:rPr>
            </w:pPr>
            <w:r>
              <w:rPr>
                <w:rFonts w:ascii="宋体" w:hAnsi="宋体"/>
                <w:b/>
                <w:color w:val="000000" w:themeColor="text1"/>
              </w:rPr>
              <w:t>QMS:</w:t>
            </w:r>
            <w:r>
              <w:rPr>
                <w:rFonts w:hint="eastAsia"/>
                <w:sz w:val="20"/>
                <w:lang w:eastAsia="zh-CN"/>
              </w:rPr>
              <w:t>机械加工。</w:t>
            </w: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b/>
                <w:color w:val="000000" w:themeColor="text1"/>
                <w:spacing w:val="-10"/>
                <w:sz w:val="22"/>
                <w:szCs w:val="22"/>
              </w:rPr>
            </w:pPr>
            <w:r>
              <w:rPr>
                <w:rFonts w:hint="eastAsia" w:ascii="宋体" w:hAnsi="宋体"/>
                <w:b/>
                <w:color w:val="000000" w:themeColor="text1"/>
              </w:rPr>
              <w:t>OHSMS</w:t>
            </w:r>
            <w:r>
              <w:rPr>
                <w:rFonts w:hint="eastAsia" w:ascii="宋体" w:hAnsi="宋体"/>
                <w:b/>
                <w:color w:val="000000" w:themeColor="text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3"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zCs w:val="21"/>
                <w:lang w:eastAsia="zh-CN"/>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w:t>
      </w:r>
      <w:r>
        <w:rPr>
          <w:rFonts w:hint="eastAsia"/>
          <w:b/>
          <w:color w:val="000000" w:themeColor="text1"/>
          <w:u w:val="single"/>
          <w:lang w:val="en-US" w:eastAsia="zh-CN"/>
        </w:rPr>
        <w:t>30</w:t>
      </w:r>
      <w:r>
        <w:rPr>
          <w:rFonts w:hint="eastAsia"/>
          <w:b/>
          <w:color w:val="000000" w:themeColor="text1"/>
        </w:rPr>
        <w:t>天/严重不符合在</w:t>
      </w:r>
      <w:r>
        <w:rPr>
          <w:rFonts w:hint="eastAsia"/>
          <w:b/>
          <w:color w:val="000000" w:themeColor="text1"/>
          <w:u w:val="single"/>
          <w:lang w:val="en-US" w:eastAsia="zh-CN"/>
        </w:rPr>
        <w:t>60</w:t>
      </w:r>
      <w:r>
        <w:rPr>
          <w:rFonts w:hint="eastAsia"/>
          <w:b/>
          <w:color w:val="000000" w:themeColor="text1"/>
        </w:rPr>
        <w:t>天针对不符合原因制定并实施纠正措施。验证方式见不符合项报告。</w:t>
      </w:r>
    </w:p>
    <w:p>
      <w:pPr>
        <w:spacing w:before="156" w:beforeLines="50" w:after="156" w:afterLines="50"/>
        <w:ind w:left="1" w:leftChars="-405" w:hanging="851" w:hangingChars="326"/>
        <w:rPr>
          <w:b/>
          <w:bCs/>
          <w:color w:val="000000" w:themeColor="text1"/>
          <w:szCs w:val="28"/>
          <w:u w:val="single"/>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lang w:val="en-US" w:eastAsia="zh-CN"/>
        </w:rPr>
        <w:t>无</w:t>
      </w:r>
    </w:p>
    <w:p>
      <w:pPr>
        <w:snapToGrid w:val="0"/>
        <w:spacing w:after="156" w:afterLines="50" w:line="360" w:lineRule="auto"/>
        <w:ind w:left="-133" w:leftChars="-405" w:hanging="717" w:hangingChars="326"/>
        <w:rPr>
          <w:b/>
          <w:color w:val="000000" w:themeColor="text1"/>
          <w:sz w:val="16"/>
          <w:szCs w:val="16"/>
        </w:rPr>
      </w:pPr>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1784350</wp:posOffset>
            </wp:positionH>
            <wp:positionV relativeFrom="paragraph">
              <wp:posOffset>321945</wp:posOffset>
            </wp:positionV>
            <wp:extent cx="812165" cy="275590"/>
            <wp:effectExtent l="0" t="0" r="635" b="3810"/>
            <wp:wrapNone/>
            <wp:docPr id="1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65153f20abdb73c162b984abccbf35"/>
                    <pic:cNvPicPr>
                      <a:picLocks noChangeAspect="1"/>
                    </pic:cNvPicPr>
                  </pic:nvPicPr>
                  <pic:blipFill>
                    <a:blip r:embed="rId6"/>
                    <a:srcRect l="7647" t="9871" r="7157" b="20799"/>
                    <a:stretch>
                      <a:fillRect/>
                    </a:stretch>
                  </pic:blipFill>
                  <pic:spPr>
                    <a:xfrm>
                      <a:off x="0" y="0"/>
                      <a:ext cx="812165" cy="275590"/>
                    </a:xfrm>
                    <a:prstGeom prst="rect">
                      <a:avLst/>
                    </a:prstGeom>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5" w:firstLineChars="250"/>
        <w:rPr>
          <w:b/>
          <w:color w:val="000000" w:themeColor="text1"/>
        </w:rPr>
      </w:pPr>
      <w:r>
        <w:rPr>
          <w:rFonts w:hint="eastAsia" w:eastAsia="宋体"/>
          <w:lang w:eastAsia="zh-CN"/>
        </w:rPr>
        <w:drawing>
          <wp:anchor distT="0" distB="0" distL="114300" distR="114300" simplePos="0" relativeHeight="251663360" behindDoc="0" locked="0" layoutInCell="1" allowOverlap="1">
            <wp:simplePos x="0" y="0"/>
            <wp:positionH relativeFrom="column">
              <wp:posOffset>1734820</wp:posOffset>
            </wp:positionH>
            <wp:positionV relativeFrom="paragraph">
              <wp:posOffset>182880</wp:posOffset>
            </wp:positionV>
            <wp:extent cx="722630" cy="330200"/>
            <wp:effectExtent l="0" t="0" r="1270" b="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7"/>
                    <a:stretch>
                      <a:fillRect/>
                    </a:stretch>
                  </pic:blipFill>
                  <pic:spPr>
                    <a:xfrm>
                      <a:off x="0" y="0"/>
                      <a:ext cx="722630" cy="330200"/>
                    </a:xfrm>
                    <a:prstGeom prst="rect">
                      <a:avLst/>
                    </a:prstGeom>
                  </pic:spPr>
                </pic:pic>
              </a:graphicData>
            </a:graphic>
          </wp:anchor>
        </w:drawing>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500" w:firstLineChars="1660"/>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color w:val="000000"/>
          <w:szCs w:val="21"/>
        </w:rPr>
        <w:t>202</w:t>
      </w:r>
      <w:r>
        <w:rPr>
          <w:rFonts w:hint="eastAsia"/>
          <w:color w:val="000000"/>
          <w:szCs w:val="21"/>
          <w:lang w:val="en-US" w:eastAsia="zh-CN"/>
        </w:rPr>
        <w:t>1</w:t>
      </w:r>
      <w:r>
        <w:rPr>
          <w:rFonts w:hint="eastAsia"/>
          <w:color w:val="000000"/>
          <w:szCs w:val="21"/>
        </w:rPr>
        <w:t>年</w:t>
      </w:r>
      <w:r>
        <w:rPr>
          <w:rFonts w:hint="eastAsia"/>
          <w:color w:val="000000"/>
          <w:szCs w:val="21"/>
          <w:lang w:val="en-US" w:eastAsia="zh-CN"/>
        </w:rPr>
        <w:t>3</w:t>
      </w:r>
      <w:r>
        <w:rPr>
          <w:rFonts w:hint="eastAsia"/>
          <w:color w:val="000000"/>
          <w:szCs w:val="21"/>
        </w:rPr>
        <w:t>月</w:t>
      </w:r>
      <w:r>
        <w:rPr>
          <w:rFonts w:hint="eastAsia"/>
          <w:color w:val="000000"/>
          <w:szCs w:val="21"/>
          <w:lang w:val="en-US" w:eastAsia="zh-CN"/>
        </w:rPr>
        <w:t>31</w:t>
      </w:r>
      <w:r>
        <w:rPr>
          <w:rFonts w:hint="eastAsia"/>
          <w:color w:val="000000"/>
          <w:szCs w:val="2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bCs/>
          <w:color w:val="000000" w:themeColor="text1"/>
          <w:szCs w:val="21"/>
          <w:lang w:eastAsia="zh-CN"/>
        </w:rPr>
        <w:t>■</w:t>
      </w:r>
      <w:r>
        <w:rPr>
          <w:rFonts w:hint="eastAsia"/>
          <w:b/>
          <w:color w:val="000000" w:themeColor="text1"/>
          <w:szCs w:val="21"/>
        </w:rPr>
        <w:t xml:space="preserve">QMS( </w:t>
      </w:r>
      <w:r>
        <w:rPr>
          <w:rFonts w:hint="eastAsia"/>
          <w:b/>
          <w:color w:val="000000" w:themeColor="text1"/>
          <w:szCs w:val="21"/>
          <w:lang w:val="en-US" w:eastAsia="zh-CN"/>
        </w:rPr>
        <w:t xml:space="preserve"> 1</w:t>
      </w:r>
      <w:r>
        <w:rPr>
          <w:rFonts w:hint="eastAsia"/>
          <w:b/>
          <w:color w:val="000000" w:themeColor="text1"/>
          <w:szCs w:val="21"/>
        </w:rPr>
        <w:t xml:space="preserve">  )个一般不符合，( </w:t>
      </w:r>
      <w:r>
        <w:rPr>
          <w:rFonts w:hint="eastAsia"/>
          <w:b/>
          <w:color w:val="000000" w:themeColor="text1"/>
          <w:szCs w:val="21"/>
          <w:lang w:val="en-US" w:eastAsia="zh-CN"/>
        </w:rPr>
        <w:t xml:space="preserve"> 0 </w:t>
      </w:r>
      <w:r>
        <w:rPr>
          <w:rFonts w:hint="eastAsia"/>
          <w:b/>
          <w:color w:val="000000" w:themeColor="text1"/>
          <w:szCs w:val="21"/>
        </w:rPr>
        <w:t xml:space="preserve">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eastAsia="宋体"/>
          <w:sz w:val="22"/>
          <w:szCs w:val="22"/>
          <w:lang w:eastAsia="zh-CN"/>
        </w:rPr>
        <w:drawing>
          <wp:anchor distT="0" distB="0" distL="114300" distR="114300" simplePos="0" relativeHeight="251662336" behindDoc="0" locked="0" layoutInCell="1" allowOverlap="1">
            <wp:simplePos x="0" y="0"/>
            <wp:positionH relativeFrom="column">
              <wp:posOffset>733425</wp:posOffset>
            </wp:positionH>
            <wp:positionV relativeFrom="paragraph">
              <wp:posOffset>111760</wp:posOffset>
            </wp:positionV>
            <wp:extent cx="812165" cy="275590"/>
            <wp:effectExtent l="0" t="0" r="635" b="3810"/>
            <wp:wrapNone/>
            <wp:docPr id="4" name="图片 4"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65153f20abdb73c162b984abccbf35"/>
                    <pic:cNvPicPr>
                      <a:picLocks noChangeAspect="1"/>
                    </pic:cNvPicPr>
                  </pic:nvPicPr>
                  <pic:blipFill>
                    <a:blip r:embed="rId6"/>
                    <a:srcRect l="7647" t="9871" r="7157" b="20799"/>
                    <a:stretch>
                      <a:fillRect/>
                    </a:stretch>
                  </pic:blipFill>
                  <pic:spPr>
                    <a:xfrm>
                      <a:off x="0" y="0"/>
                      <a:ext cx="812165" cy="275590"/>
                    </a:xfrm>
                    <a:prstGeom prst="rect">
                      <a:avLst/>
                    </a:prstGeom>
                  </pic:spPr>
                </pic:pic>
              </a:graphicData>
            </a:graphic>
          </wp:anchor>
        </w:drawing>
      </w:r>
      <w:r>
        <w:rPr>
          <w:rFonts w:hint="eastAsia"/>
          <w:b/>
          <w:color w:val="000000" w:themeColor="text1"/>
          <w:szCs w:val="21"/>
        </w:rPr>
        <w:t xml:space="preserve">组长签字:                               日期:  </w:t>
      </w:r>
      <w:r>
        <w:rPr>
          <w:rFonts w:hint="eastAsia"/>
          <w:b/>
          <w:color w:val="000000" w:themeColor="text1"/>
          <w:szCs w:val="21"/>
          <w:lang w:val="en-US" w:eastAsia="zh-CN"/>
        </w:rPr>
        <w:t>2021</w:t>
      </w:r>
      <w:r>
        <w:rPr>
          <w:rFonts w:hint="eastAsia"/>
          <w:b/>
          <w:color w:val="000000" w:themeColor="text1"/>
          <w:szCs w:val="21"/>
        </w:rPr>
        <w:t>年</w:t>
      </w:r>
      <w:r>
        <w:rPr>
          <w:rFonts w:hint="eastAsia"/>
          <w:b/>
          <w:color w:val="000000" w:themeColor="text1"/>
          <w:szCs w:val="21"/>
          <w:lang w:val="en-US" w:eastAsia="zh-CN"/>
        </w:rPr>
        <w:t xml:space="preserve">  4  </w:t>
      </w:r>
      <w:r>
        <w:rPr>
          <w:rFonts w:hint="eastAsia"/>
          <w:b/>
          <w:color w:val="000000" w:themeColor="text1"/>
          <w:szCs w:val="21"/>
        </w:rPr>
        <w:t>月</w:t>
      </w:r>
      <w:r>
        <w:rPr>
          <w:rFonts w:hint="eastAsia"/>
          <w:b/>
          <w:color w:val="000000" w:themeColor="text1"/>
          <w:szCs w:val="21"/>
          <w:lang w:val="en-US" w:eastAsia="zh-CN"/>
        </w:rPr>
        <w:t xml:space="preserve">  </w:t>
      </w:r>
      <w:bookmarkStart w:id="22" w:name="_GoBack"/>
      <w:bookmarkEnd w:id="22"/>
      <w:r>
        <w:rPr>
          <w:rFonts w:hint="eastAsia"/>
          <w:b/>
          <w:color w:val="000000" w:themeColor="text1"/>
          <w:szCs w:val="21"/>
          <w:lang w:val="en-US" w:eastAsia="zh-CN"/>
        </w:rPr>
        <w:t xml:space="preserve">1  </w:t>
      </w:r>
      <w:r>
        <w:rPr>
          <w:rFonts w:hint="eastAsia"/>
          <w:b/>
          <w:color w:val="000000" w:themeColor="text1"/>
          <w:szCs w:val="2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十六、与末次会议结论不同处的说明和其他说明：(技术委员会填写)</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十七、审核报告的发放范围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w:t>
      </w:r>
      <w:r>
        <w:rPr>
          <w:rFonts w:hint="eastAsia"/>
          <w:b/>
          <w:color w:val="000000" w:themeColor="text1"/>
          <w:lang w:val="en-US" w:eastAsia="zh-CN"/>
        </w:rPr>
        <w:t xml:space="preserve">                                         </w:t>
      </w:r>
      <w:r>
        <w:rPr>
          <w:rFonts w:hint="eastAsia"/>
          <w:b/>
          <w:color w:val="000000" w:themeColor="text1"/>
        </w:rPr>
        <w:t>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b/>
          <w:color w:val="000000" w:themeColor="text1"/>
          <w:sz w:val="26"/>
          <w:szCs w:val="26"/>
        </w:rPr>
        <w:t>十八</w:t>
      </w:r>
      <w:r>
        <w:rPr>
          <w:rFonts w:hint="eastAsia" w:ascii="宋体" w:hAnsi="宋体"/>
          <w:b/>
          <w:color w:val="000000" w:themeColor="text1"/>
          <w:sz w:val="26"/>
          <w:szCs w:val="26"/>
        </w:rPr>
        <w:t>、附件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21" w:name="_Hlk8555230"/>
    <w:r>
      <w:pict>
        <v:shape id="_x0000_s2049" o:spid="_x0000_s2049" o:spt="202" type="#_x0000_t202" style="position:absolute;left:0pt;margin-left:249.35pt;margin-top:5.25pt;height:20.2pt;width:16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21"/>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FA0A79"/>
    <w:multiLevelType w:val="singleLevel"/>
    <w:tmpl w:val="C7FA0A79"/>
    <w:lvl w:ilvl="0" w:tentative="0">
      <w:start w:val="10"/>
      <w:numFmt w:val="decimal"/>
      <w:suff w:val="space"/>
      <w:lvlText w:val="%1."/>
      <w:lvlJc w:val="left"/>
    </w:lvl>
  </w:abstractNum>
  <w:abstractNum w:abstractNumId="1">
    <w:nsid w:val="07C1B8CD"/>
    <w:multiLevelType w:val="singleLevel"/>
    <w:tmpl w:val="07C1B8CD"/>
    <w:lvl w:ilvl="0" w:tentative="0">
      <w:start w:val="3"/>
      <w:numFmt w:val="decimal"/>
      <w:suff w:val="space"/>
      <w:lvlText w:val="%1."/>
      <w:lvlJc w:val="left"/>
    </w:lvl>
  </w:abstractNum>
  <w:abstractNum w:abstractNumId="2">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AE166AC"/>
    <w:rsid w:val="777C0B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4"/>
    <w:semiHidden/>
    <w:unhideWhenUsed/>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5"/>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1</TotalTime>
  <ScaleCrop>false</ScaleCrop>
  <LinksUpToDate>false</LinksUpToDate>
  <CharactersWithSpaces>5057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宋明珠</cp:lastModifiedBy>
  <cp:lastPrinted>2019-05-13T03:19:00Z</cp:lastPrinted>
  <dcterms:modified xsi:type="dcterms:W3CDTF">2021-04-01T01:09:41Z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0CF08F9B8D6247F1903603111474EA03</vt:lpwstr>
  </property>
</Properties>
</file>