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</w:t>
      </w:r>
      <w:r>
        <w:rPr>
          <w:rFonts w:hint="eastAsia" w:ascii="Times New Roman" w:hAnsi="Times New Roman" w:eastAsia="宋体" w:cs="Times New Roman"/>
          <w:sz w:val="24"/>
          <w:szCs w:val="24"/>
        </w:rPr>
        <w:t>层、总经办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生产部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市场部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陪</w:t>
      </w:r>
      <w:r>
        <w:rPr>
          <w:rFonts w:hint="eastAsia"/>
          <w:sz w:val="24"/>
          <w:szCs w:val="24"/>
        </w:rPr>
        <w:t>同人员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bookmarkStart w:id="0" w:name="法人"/>
      <w:r>
        <w:rPr>
          <w:rFonts w:hint="eastAsia" w:ascii="Times New Roman" w:hAnsi="Times New Roman" w:eastAsia="宋体" w:cs="Times New Roman"/>
          <w:sz w:val="24"/>
          <w:szCs w:val="24"/>
        </w:rPr>
        <w:t>文仲华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审核</w:t>
      </w:r>
      <w:r>
        <w:rPr>
          <w:rFonts w:hint="eastAsia"/>
          <w:sz w:val="24"/>
          <w:szCs w:val="24"/>
        </w:rPr>
        <w:t>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成都千吉鑫科技有限公司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从事机械加工</w:t>
            </w:r>
            <w:r>
              <w:rPr>
                <w:rFonts w:hint="eastAsia"/>
                <w:szCs w:val="21"/>
                <w:lang w:val="en-US" w:eastAsia="zh-CN"/>
              </w:rPr>
              <w:t>。主营产品：各种代加工等。现有员工20人，目前经营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总经办、生产部、市场部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6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四川省德阳市绵竹市城东新区105省道(旌湖苑西南）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机械加工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，与申请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数控车床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通车床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平面磨床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外圆磨床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加工中心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镗床等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精加工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特殊过程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：无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体系运行时间：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2020年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月1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组织实际与管理体系文件化信息描述基本一致。有管理层、总经办、生产部、市场部。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</w:t>
            </w:r>
            <w:r>
              <w:rPr>
                <w:rFonts w:hint="eastAsia" w:ascii="宋体" w:hAnsi="宋体" w:eastAsia="宋体" w:cs="Times New Roman"/>
                <w:szCs w:val="21"/>
              </w:rPr>
              <w:t>华人民共和国劳动法、中华人民共和国安全消防法、中华人民共和国产品质量法、中华人民共和国消费者权益法等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械加工工艺装备基本术语GB/T 1008-2008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机械加工定位、夹紧符号JB/T 5061-2006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械加工工艺守则JB/T 9168-2006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技术产品文件 机械加工定位、夹紧符号表示法GB/T 24740-2009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金属切削机床 术语GB/T 6477-2008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倒圆半径和倒角高度尺寸的极限偏差数值GB/T1804-2000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角度尺寸的极限偏差数值GB/T1804-2000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来料---粗加工---精加工---清理、打磨毛刺——检验——打印标记——入库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精加工</w:t>
            </w: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外包过程：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公司普通机械零配件代加工工艺成熟,按国家规定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360" w:lineRule="auto"/>
              <w:ind w:firstLine="642" w:firstLineChars="200"/>
              <w:rPr>
                <w:rFonts w:hint="eastAsia" w:ascii="宋体" w:hAnsi="宋体" w:cs="宋体"/>
                <w:b/>
                <w:spacing w:val="2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合同履约达到率100%。</w:t>
            </w: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最终产品一次合格率100%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顾客满意率＞90% 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牙轮毛坯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操作人员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数控车床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通车床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平面磨床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外圆磨床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加工中心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镗床等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13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行车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带表内卡规、游标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卡尺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、内径千分尺、外径千分尺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采取外检，提供的检测设备检定或校准证书已过期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color w:val="FF0000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质量第一、顾客至上、全员参与、追求卓越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内审组：组长：奚汉    组员：刘峰</w:t>
            </w:r>
          </w:p>
          <w:p>
            <w:pPr>
              <w:spacing w:line="600" w:lineRule="auto"/>
              <w:ind w:firstLine="420" w:firstLineChars="20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有：《内审不符合项报告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》1份 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涉及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总经办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Q6.1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条款未更新法律法规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由张世念总经理主持完成。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继续加强质量的继续学习和理解。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3C6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2021-04-01T01:30:30Z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592AE1E8B7AE4BF5AF80E6B848A22351</vt:lpwstr>
  </property>
</Properties>
</file>