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0221-2021-QO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成都博世威科技有限公司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Q:12.05.04</w:t>
            </w:r>
          </w:p>
          <w:p>
            <w:pPr>
              <w:spacing w:line="240" w:lineRule="exact"/>
              <w:jc w:val="center"/>
              <w:rPr>
                <w:b/>
                <w:color w:val="000000"/>
                <w:sz w:val="20"/>
                <w:szCs w:val="20"/>
              </w:rPr>
            </w:pPr>
            <w:r>
              <w:rPr>
                <w:b/>
                <w:color w:val="000000"/>
                <w:sz w:val="20"/>
                <w:szCs w:val="20"/>
              </w:rPr>
              <w:t>O:12.05.04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冉景洲</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余家龙</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陈伟</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ascii="宋体" w:hAnsi="宋体"/>
          <w:b/>
          <w:color w:val="000000"/>
          <w:sz w:val="20"/>
          <w:szCs w:val="20"/>
          <w:lang w:val="en-US" w:eastAsia="zh-CN"/>
        </w:rPr>
        <w:t xml:space="preserve">ISO45001-2018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成都博世威科技有限公司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成都市新津县五津镇兴园8路518号2栋1层</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生产地址：四川省德阳市广汉市新丰镇玉溪路三段六号；经营地址：四川省德阳市广汉市新丰镇玉溪路三段六号1栋楼2层</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袁华</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15308105335</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李仕勇</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罗杨</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Q：油田助剂的加工、销售</w:t>
            </w:r>
          </w:p>
          <w:p>
            <w:pPr>
              <w:spacing w:line="400" w:lineRule="exact"/>
              <w:rPr>
                <w:rFonts w:ascii="宋体" w:hAnsi="宋体"/>
                <w:b/>
                <w:color w:val="000000"/>
                <w:sz w:val="20"/>
                <w:szCs w:val="20"/>
              </w:rPr>
            </w:pPr>
            <w:r>
              <w:rPr>
                <w:rFonts w:ascii="宋体" w:hAnsi="宋体"/>
                <w:b/>
                <w:color w:val="000000"/>
                <w:sz w:val="20"/>
                <w:szCs w:val="20"/>
              </w:rPr>
              <w:t>O：油田助剂的加工、销售所涉及场所的相关职业健康安全管理活动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Q：12.05.04</w:t>
            </w:r>
          </w:p>
          <w:p>
            <w:pPr>
              <w:spacing w:line="280" w:lineRule="exact"/>
              <w:rPr>
                <w:rFonts w:ascii="宋体"/>
                <w:b/>
                <w:color w:val="000000"/>
                <w:sz w:val="20"/>
                <w:szCs w:val="20"/>
              </w:rPr>
            </w:pPr>
            <w:r>
              <w:rPr>
                <w:rFonts w:ascii="宋体"/>
                <w:b/>
                <w:color w:val="000000"/>
                <w:sz w:val="20"/>
                <w:szCs w:val="20"/>
              </w:rPr>
              <w:t>O：12.05.04</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1" w:firstLineChars="148"/>
        <w:rPr>
          <w:rFonts w:ascii="宋体"/>
          <w:b/>
          <w:color w:val="000000"/>
          <w:sz w:val="20"/>
          <w:szCs w:val="20"/>
        </w:rPr>
      </w:pPr>
      <w:r>
        <w:rPr>
          <w:rFonts w:hint="eastAsia" w:ascii="宋体" w:hAnsi="宋体"/>
          <w:b/>
          <w:color w:val="000000"/>
          <w:spacing w:val="-2"/>
          <w:sz w:val="20"/>
          <w:szCs w:val="20"/>
          <w:lang w:eastAsia="zh-CN"/>
        </w:rPr>
        <w:t>■</w:t>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程序文件、管理手册、内部审核</w:t>
      </w:r>
      <w:bookmarkStart w:id="25" w:name="_GoBack"/>
      <w:bookmarkEnd w:id="25"/>
      <w:r>
        <w:rPr>
          <w:rFonts w:hint="eastAsia" w:ascii="宋体" w:hAnsi="宋体"/>
          <w:b/>
          <w:color w:val="000000"/>
          <w:sz w:val="20"/>
          <w:szCs w:val="20"/>
          <w:lang w:val="en-US" w:eastAsia="zh-CN"/>
        </w:rPr>
        <w:t>、管理评审等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管理层、业务部、综合部、生产部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办公场所、加工场所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■是</w:t>
            </w:r>
          </w:p>
        </w:tc>
        <w:tc>
          <w:tcPr>
            <w:tcW w:w="1280" w:type="dxa"/>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■是</w:t>
            </w:r>
          </w:p>
        </w:tc>
        <w:tc>
          <w:tcPr>
            <w:tcW w:w="1280" w:type="dxa"/>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合理</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numPr>
                <w:ilvl w:val="0"/>
                <w:numId w:val="1"/>
              </w:numPr>
              <w:rPr>
                <w:rFonts w:ascii="宋体"/>
                <w:color w:val="000000"/>
                <w:sz w:val="20"/>
                <w:szCs w:val="20"/>
              </w:rPr>
            </w:pPr>
            <w:r>
              <w:rPr>
                <w:rFonts w:hint="eastAsia" w:ascii="宋体" w:hAnsi="宋体"/>
                <w:color w:val="000000"/>
                <w:sz w:val="20"/>
                <w:szCs w:val="20"/>
              </w:rPr>
              <w:t>是否明确了风险评价的方法和风险确定的准则</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产品：油田助剂的加工</w:t>
            </w:r>
          </w:p>
          <w:p>
            <w:pPr>
              <w:tabs>
                <w:tab w:val="left" w:pos="360"/>
              </w:tabs>
              <w:ind w:left="360" w:hanging="360"/>
              <w:rPr>
                <w:rFonts w:ascii="宋体"/>
                <w:b/>
                <w:color w:val="000000"/>
                <w:sz w:val="20"/>
                <w:szCs w:val="20"/>
              </w:rPr>
            </w:pPr>
            <w:r>
              <w:rPr>
                <w:rFonts w:hint="eastAsia" w:ascii="宋体" w:hAnsi="宋体"/>
                <w:b/>
                <w:color w:val="000000"/>
                <w:sz w:val="20"/>
                <w:szCs w:val="20"/>
              </w:rPr>
              <w:t>服务：油田助剂的销售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管理层、业务部、综合部、生产部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生产部、业务部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0"/>
              </w:tabs>
              <w:ind w:left="17" w:leftChars="0" w:hanging="17" w:firstLineChars="0"/>
              <w:rPr>
                <w:rFonts w:ascii="宋体"/>
                <w:color w:val="000000"/>
                <w:sz w:val="20"/>
                <w:szCs w:val="20"/>
              </w:rPr>
            </w:pPr>
            <w:r>
              <w:rPr>
                <w:rFonts w:hint="eastAsia" w:ascii="宋体" w:hAnsi="宋体"/>
                <w:color w:val="000000"/>
                <w:sz w:val="20"/>
                <w:szCs w:val="20"/>
              </w:rPr>
              <w:t>受审核方位于：</w:t>
            </w:r>
            <w:bookmarkStart w:id="24" w:name="生产地址"/>
            <w:r>
              <w:rPr>
                <w:rFonts w:hint="eastAsia" w:ascii="宋体" w:hAnsi="宋体"/>
                <w:color w:val="000000"/>
                <w:sz w:val="20"/>
                <w:szCs w:val="20"/>
              </w:rPr>
              <w:t>生产地址：四川省德阳市广汉市新丰镇玉溪路三段六号；经营地址：四川省德阳市广汉市新丰镇玉溪路三段六号1栋楼2层</w:t>
            </w:r>
            <w:bookmarkEnd w:id="24"/>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w:t>
            </w:r>
            <w:r>
              <w:rPr>
                <w:rFonts w:hint="eastAsia" w:ascii="宋体" w:hAnsi="宋体"/>
                <w:color w:val="000000"/>
                <w:sz w:val="20"/>
                <w:szCs w:val="20"/>
                <w:highlight w:val="none"/>
              </w:rPr>
              <w:t>房</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自建厂房</w:t>
            </w:r>
            <w:r>
              <w:rPr>
                <w:rFonts w:hint="eastAsia" w:ascii="宋体" w:hAnsi="宋体"/>
                <w:color w:val="000000"/>
                <w:spacing w:val="-10"/>
                <w:sz w:val="20"/>
                <w:szCs w:val="20"/>
                <w:highlight w:val="none"/>
                <w:lang w:eastAsia="zh-CN"/>
              </w:rPr>
              <w:t>■</w:t>
            </w:r>
            <w:r>
              <w:rPr>
                <w:rFonts w:hint="eastAsia" w:ascii="宋体" w:hAnsi="宋体"/>
                <w:color w:val="000000"/>
                <w:spacing w:val="-10"/>
                <w:sz w:val="20"/>
                <w:szCs w:val="20"/>
                <w:highlight w:val="none"/>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vAlign w:val="top"/>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041" w:type="dxa"/>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营业执照是否有效：</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组织代码证是否有效：</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spacing w:line="400" w:lineRule="exact"/>
              <w:jc w:val="left"/>
              <w:rPr>
                <w:rFonts w:ascii="宋体"/>
                <w:color w:val="000000"/>
                <w:spacing w:val="-10"/>
                <w:sz w:val="20"/>
                <w:szCs w:val="20"/>
                <w:highlight w:val="none"/>
              </w:rPr>
            </w:pPr>
            <w:r>
              <w:rPr>
                <w:rFonts w:hint="eastAsia" w:ascii="宋体" w:hAnsi="宋体"/>
                <w:color w:val="000000"/>
                <w:spacing w:val="-10"/>
                <w:sz w:val="20"/>
                <w:szCs w:val="20"/>
                <w:highlight w:val="none"/>
                <w:lang w:eastAsia="zh-CN"/>
              </w:rPr>
              <w:t>■</w:t>
            </w:r>
            <w:r>
              <w:rPr>
                <w:rFonts w:hint="eastAsia" w:ascii="宋体" w:hAnsi="宋体"/>
                <w:color w:val="000000"/>
                <w:spacing w:val="-10"/>
                <w:sz w:val="20"/>
                <w:szCs w:val="20"/>
                <w:highlight w:val="none"/>
              </w:rPr>
              <w:t>产品技术标准号：</w:t>
            </w:r>
            <w:r>
              <w:rPr>
                <w:rFonts w:hint="eastAsia" w:ascii="宋体" w:hAnsi="宋体" w:eastAsia="宋体"/>
                <w:color w:val="000000"/>
                <w:spacing w:val="-10"/>
                <w:sz w:val="20"/>
                <w:szCs w:val="20"/>
                <w:highlight w:val="none"/>
              </w:rPr>
              <w:t>油田注水用粘土稳定剂通用技术条件</w:t>
            </w:r>
            <w:r>
              <w:rPr>
                <w:rFonts w:hint="eastAsia" w:ascii="宋体" w:hAnsi="宋体" w:eastAsia="宋体"/>
                <w:color w:val="000000"/>
                <w:spacing w:val="-10"/>
                <w:sz w:val="20"/>
                <w:szCs w:val="20"/>
                <w:highlight w:val="none"/>
                <w:lang w:val="en-US" w:eastAsia="zh-CN"/>
              </w:rPr>
              <w:t xml:space="preserve"> </w:t>
            </w:r>
            <w:r>
              <w:rPr>
                <w:rFonts w:hint="eastAsia" w:ascii="宋体" w:hAnsi="宋体" w:eastAsia="宋体"/>
                <w:color w:val="000000"/>
                <w:spacing w:val="-10"/>
                <w:sz w:val="20"/>
                <w:szCs w:val="20"/>
                <w:highlight w:val="none"/>
              </w:rPr>
              <w:t>DB65/T 3483-2013</w:t>
            </w:r>
            <w:r>
              <w:rPr>
                <w:rFonts w:hint="eastAsia" w:ascii="宋体" w:hAnsi="宋体" w:eastAsia="宋体"/>
                <w:color w:val="000000"/>
                <w:spacing w:val="-10"/>
                <w:sz w:val="20"/>
                <w:szCs w:val="20"/>
                <w:highlight w:val="none"/>
                <w:lang w:eastAsia="zh-CN"/>
              </w:rPr>
              <w:t>、</w:t>
            </w:r>
            <w:r>
              <w:rPr>
                <w:rFonts w:hint="eastAsia" w:ascii="宋体" w:hAnsi="宋体" w:eastAsia="宋体"/>
                <w:color w:val="000000"/>
                <w:spacing w:val="-10"/>
                <w:sz w:val="20"/>
                <w:szCs w:val="20"/>
                <w:highlight w:val="none"/>
              </w:rPr>
              <w:t>钻井液用硅稳定剂HFT-401Q/CNPC 62-2002</w:t>
            </w:r>
            <w:r>
              <w:rPr>
                <w:rFonts w:hint="eastAsia" w:ascii="宋体" w:hAnsi="宋体" w:eastAsia="宋体"/>
                <w:color w:val="000000"/>
                <w:spacing w:val="-10"/>
                <w:sz w:val="20"/>
                <w:szCs w:val="20"/>
                <w:highlight w:val="none"/>
                <w:lang w:eastAsia="zh-CN"/>
              </w:rPr>
              <w:t>、</w:t>
            </w:r>
            <w:r>
              <w:rPr>
                <w:rFonts w:hint="eastAsia" w:ascii="宋体" w:hAnsi="宋体" w:eastAsia="宋体"/>
                <w:color w:val="000000"/>
                <w:spacing w:val="-10"/>
                <w:sz w:val="20"/>
                <w:szCs w:val="20"/>
                <w:highlight w:val="none"/>
              </w:rPr>
              <w:t>油气田压裂酸化及注水用粘土稳定剂性能评价方法SY/T 5971-2016</w:t>
            </w:r>
            <w:r>
              <w:rPr>
                <w:rFonts w:hint="eastAsia" w:ascii="宋体" w:hAnsi="宋体" w:eastAsia="宋体"/>
                <w:color w:val="000000"/>
                <w:spacing w:val="-10"/>
                <w:sz w:val="20"/>
                <w:szCs w:val="20"/>
                <w:highlight w:val="none"/>
                <w:lang w:val="en-US" w:eastAsia="zh-CN"/>
              </w:rPr>
              <w:t>等和</w:t>
            </w:r>
            <w:r>
              <w:rPr>
                <w:rFonts w:hint="eastAsia" w:ascii="宋体" w:hAnsi="宋体" w:eastAsia="宋体"/>
                <w:color w:val="000000"/>
                <w:spacing w:val="-10"/>
                <w:sz w:val="20"/>
                <w:szCs w:val="20"/>
                <w:highlight w:val="none"/>
                <w:lang w:eastAsia="zh-CN"/>
              </w:rPr>
              <w:t>■</w:t>
            </w:r>
            <w:r>
              <w:rPr>
                <w:rFonts w:hint="eastAsia" w:ascii="宋体" w:hAnsi="宋体" w:eastAsia="宋体"/>
                <w:color w:val="000000"/>
                <w:spacing w:val="-10"/>
                <w:sz w:val="20"/>
                <w:szCs w:val="20"/>
                <w:highlight w:val="none"/>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highlight w:val="none"/>
              </w:rPr>
            </w:pPr>
            <w:r>
              <w:rPr>
                <w:rFonts w:hint="eastAsia" w:ascii="宋体" w:hAnsi="宋体"/>
                <w:color w:val="000000"/>
                <w:spacing w:val="-10"/>
                <w:sz w:val="20"/>
                <w:szCs w:val="20"/>
                <w:highlight w:val="none"/>
              </w:rPr>
              <w:t>现场是否有产品检验报告</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highlight w:val="none"/>
              </w:rPr>
            </w:pPr>
            <w:r>
              <w:rPr>
                <w:rFonts w:hint="eastAsia" w:ascii="宋体"/>
                <w:color w:val="000000"/>
                <w:sz w:val="20"/>
                <w:szCs w:val="20"/>
                <w:highlight w:val="none"/>
              </w:rPr>
              <w:t>是否需要型式试验</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否，是否有</w:t>
            </w:r>
            <w:r>
              <w:rPr>
                <w:rFonts w:hint="eastAsia" w:ascii="宋体"/>
                <w:color w:val="000000"/>
                <w:sz w:val="20"/>
                <w:szCs w:val="20"/>
                <w:highlight w:val="none"/>
              </w:rPr>
              <w:t>型式试验</w:t>
            </w:r>
            <w:r>
              <w:rPr>
                <w:rFonts w:hint="eastAsia" w:ascii="宋体" w:hAnsi="宋体"/>
                <w:color w:val="000000"/>
                <w:sz w:val="20"/>
                <w:szCs w:val="20"/>
                <w:highlight w:val="none"/>
              </w:rPr>
              <w:t>报告</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vAlign w:val="top"/>
          </w:tcPr>
          <w:p>
            <w:pPr>
              <w:rPr>
                <w:rFonts w:ascii="宋体" w:hAnsi="Times New Roman" w:eastAsia="宋体" w:cs="Times New Roman"/>
                <w:color w:val="000000"/>
                <w:kern w:val="2"/>
                <w:sz w:val="20"/>
                <w:szCs w:val="20"/>
                <w:highlight w:val="none"/>
                <w:lang w:val="en-US" w:eastAsia="zh-CN" w:bidi="ar-SA"/>
              </w:rPr>
            </w:pPr>
            <w:r>
              <w:rPr>
                <w:rFonts w:hint="eastAsia" w:ascii="宋体"/>
                <w:color w:val="000000"/>
                <w:sz w:val="20"/>
                <w:szCs w:val="20"/>
                <w:highlight w:val="none"/>
              </w:rPr>
              <w:t>是否有安全预评价报告，</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highlight w:val="none"/>
                <w:lang w:val="en-US" w:eastAsia="zh-CN" w:bidi="ar-SA"/>
              </w:rPr>
            </w:pPr>
            <w:r>
              <w:rPr>
                <w:rFonts w:hint="eastAsia" w:ascii="宋体"/>
                <w:color w:val="000000"/>
                <w:sz w:val="20"/>
                <w:szCs w:val="20"/>
                <w:highlight w:val="none"/>
              </w:rPr>
              <w:t>是否有安全现状评价报告，</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highlight w:val="none"/>
                <w:lang w:val="en-US" w:eastAsia="zh-CN" w:bidi="ar-SA"/>
              </w:rPr>
            </w:pPr>
            <w:r>
              <w:rPr>
                <w:rFonts w:hint="eastAsia" w:ascii="宋体"/>
                <w:color w:val="000000"/>
                <w:sz w:val="20"/>
                <w:szCs w:val="20"/>
                <w:highlight w:val="none"/>
              </w:rPr>
              <w:t>是否有消防验收报告</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highlight w:val="none"/>
                <w:lang w:val="en-US" w:eastAsia="zh-CN" w:bidi="ar-SA"/>
              </w:rPr>
            </w:pPr>
            <w:r>
              <w:rPr>
                <w:rFonts w:hint="eastAsia" w:ascii="宋体"/>
                <w:color w:val="000000"/>
                <w:sz w:val="20"/>
                <w:szCs w:val="20"/>
                <w:highlight w:val="none"/>
              </w:rPr>
              <w:t>是否申报职业危害场所</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hint="eastAsia" w:ascii="宋体" w:hAnsi="Times New Roman" w:eastAsia="宋体" w:cs="Times New Roman"/>
                <w:color w:val="000000"/>
                <w:kern w:val="2"/>
                <w:sz w:val="20"/>
                <w:szCs w:val="20"/>
                <w:lang w:val="en-US" w:eastAsia="zh-CN" w:bidi="ar-SA"/>
              </w:rPr>
            </w:pPr>
            <w:r>
              <w:rPr>
                <w:rFonts w:hint="eastAsia" w:ascii="宋体" w:hAnsi="Times New Roman" w:cs="Times New Roman"/>
                <w:color w:val="000000"/>
                <w:sz w:val="20"/>
                <w:szCs w:val="20"/>
              </w:rPr>
              <w:t>执行标准：中华人民共和国安全消防法、中华人民共和国劳动合同法、中华人民共和国安全生产法、火灾事故调查规定GA/T 1034-2012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vAlign w:val="top"/>
          </w:tcPr>
          <w:p>
            <w:pPr>
              <w:rPr>
                <w:rFonts w:ascii="宋体"/>
                <w:color w:val="000000"/>
                <w:sz w:val="20"/>
                <w:szCs w:val="20"/>
              </w:rPr>
            </w:pPr>
            <w:r>
              <w:rPr>
                <w:rFonts w:hint="eastAsia" w:ascii="宋体"/>
                <w:color w:val="000000"/>
                <w:sz w:val="20"/>
                <w:szCs w:val="20"/>
              </w:rPr>
              <w:t>是否建立了合规性评价程序</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sz w:val="20"/>
                <w:szCs w:val="22"/>
              </w:rPr>
            </w:pPr>
            <w:r>
              <w:rPr>
                <w:rFonts w:hint="eastAsia"/>
                <w:sz w:val="20"/>
                <w:szCs w:val="22"/>
              </w:rPr>
              <w:t>油田助剂的加工流程：进料→搅拌→加热→降温→放料→检测→包装入库</w:t>
            </w:r>
          </w:p>
          <w:p>
            <w:pPr>
              <w:rPr>
                <w:rFonts w:hint="eastAsia"/>
                <w:sz w:val="20"/>
                <w:szCs w:val="22"/>
              </w:rPr>
            </w:pPr>
            <w:r>
              <w:rPr>
                <w:rFonts w:hint="eastAsia"/>
                <w:sz w:val="20"/>
                <w:szCs w:val="22"/>
              </w:rPr>
              <w:t>搅拌为</w:t>
            </w:r>
            <w:r>
              <w:rPr>
                <w:rFonts w:hint="eastAsia"/>
                <w:sz w:val="20"/>
                <w:szCs w:val="22"/>
                <w:lang w:val="en-US" w:eastAsia="zh-CN"/>
              </w:rPr>
              <w:t>关键/</w:t>
            </w:r>
            <w:r>
              <w:rPr>
                <w:rFonts w:hint="eastAsia"/>
                <w:sz w:val="20"/>
                <w:szCs w:val="22"/>
              </w:rPr>
              <w:t>需确认过程</w:t>
            </w:r>
          </w:p>
          <w:p>
            <w:pPr>
              <w:rPr>
                <w:rFonts w:hint="eastAsia"/>
                <w:sz w:val="20"/>
                <w:szCs w:val="22"/>
              </w:rPr>
            </w:pPr>
            <w:r>
              <w:rPr>
                <w:rFonts w:hint="eastAsia"/>
                <w:sz w:val="20"/>
                <w:szCs w:val="22"/>
              </w:rPr>
              <w:t>销售流程：业务洽谈→签订合同→采购→物资检验→交付</w:t>
            </w:r>
          </w:p>
          <w:p>
            <w:pPr>
              <w:rPr>
                <w:rFonts w:ascii="宋体"/>
                <w:color w:val="000000"/>
                <w:sz w:val="20"/>
                <w:szCs w:val="20"/>
              </w:rPr>
            </w:pPr>
            <w:r>
              <w:rPr>
                <w:rFonts w:hint="eastAsia"/>
                <w:sz w:val="20"/>
                <w:szCs w:val="22"/>
              </w:rPr>
              <w:t>销售为</w:t>
            </w:r>
            <w:r>
              <w:rPr>
                <w:rFonts w:hint="eastAsia"/>
                <w:sz w:val="20"/>
                <w:szCs w:val="22"/>
                <w:lang w:val="en-US" w:eastAsia="zh-CN"/>
              </w:rPr>
              <w:t>关键/</w:t>
            </w:r>
            <w:r>
              <w:rPr>
                <w:rFonts w:hint="eastAsia"/>
                <w:sz w:val="20"/>
                <w:szCs w:val="22"/>
              </w:rPr>
              <w:t>需确认过程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sz w:val="20"/>
                <w:szCs w:val="22"/>
              </w:rPr>
              <w:t>搅拌</w:t>
            </w:r>
            <w:r>
              <w:rPr>
                <w:rFonts w:hint="eastAsia"/>
                <w:sz w:val="20"/>
                <w:szCs w:val="22"/>
                <w:lang w:eastAsia="zh-CN"/>
              </w:rPr>
              <w:t>、</w:t>
            </w:r>
            <w:r>
              <w:rPr>
                <w:rFonts w:hint="eastAsia"/>
                <w:sz w:val="20"/>
                <w:szCs w:val="22"/>
                <w:lang w:val="en-US"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搅拌过程、销售过程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vAlign w:val="top"/>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eastAsia="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办公设备：电脑打印机，生产设备：</w:t>
            </w:r>
            <w:r>
              <w:rPr>
                <w:rFonts w:hint="eastAsia" w:ascii="宋体" w:hAnsi="宋体"/>
                <w:szCs w:val="21"/>
                <w:lang w:val="en-US" w:eastAsia="zh-CN"/>
              </w:rPr>
              <w:t>搪瓷反应釜、立式水火管燃气锅炉、抽料泵、钢丝软管、手动叉车、1T升降机</w:t>
            </w:r>
            <w:r>
              <w:rPr>
                <w:rFonts w:hint="eastAsia" w:ascii="宋体" w:hAnsi="宋体"/>
                <w:szCs w:val="21"/>
              </w:rPr>
              <w:t>等</w:t>
            </w:r>
            <w:r>
              <w:rPr>
                <w:rFonts w:hint="eastAsia" w:ascii="宋体" w:hAnsi="宋体"/>
                <w:szCs w:val="21"/>
                <w:lang w:eastAsia="zh-CN"/>
              </w:rPr>
              <w:t>。</w:t>
            </w:r>
            <w:r>
              <w:rPr>
                <w:rFonts w:hint="eastAsia" w:ascii="宋体" w:hAnsi="宋体"/>
                <w:color w:val="000000"/>
                <w:spacing w:val="-10"/>
                <w:sz w:val="20"/>
                <w:szCs w:val="20"/>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szCs w:val="21"/>
                <w:highlight w:val="none"/>
                <w:lang w:val="en-US" w:eastAsia="zh-CN"/>
              </w:rPr>
              <w:t>锅炉1台（燃料：天燃气）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highlight w:val="none"/>
              </w:rPr>
            </w:pPr>
            <w:r>
              <w:rPr>
                <w:rFonts w:hint="eastAsia" w:ascii="宋体" w:hAnsi="宋体"/>
                <w:color w:val="000000"/>
                <w:sz w:val="20"/>
                <w:szCs w:val="20"/>
                <w:highlight w:val="none"/>
              </w:rPr>
              <w:t>特种设备是否按规定检定</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eastAsia="宋体"/>
                <w:color w:val="000000"/>
                <w:sz w:val="20"/>
                <w:szCs w:val="20"/>
                <w:highlight w:val="none"/>
                <w:lang w:val="en-US" w:eastAsia="zh-CN"/>
              </w:rPr>
            </w:pPr>
            <w:r>
              <w:rPr>
                <w:rFonts w:hint="eastAsia" w:ascii="宋体"/>
                <w:color w:val="000000"/>
                <w:sz w:val="20"/>
                <w:szCs w:val="20"/>
                <w:highlight w:val="none"/>
              </w:rPr>
              <w:t>监视和测量设备（请简述主要监视和测量设备）：</w:t>
            </w:r>
            <w:r>
              <w:rPr>
                <w:rFonts w:hint="eastAsia" w:ascii="宋体" w:hAnsi="宋体" w:eastAsia="宋体"/>
                <w:szCs w:val="21"/>
                <w:highlight w:val="none"/>
                <w:lang w:val="en-US" w:eastAsia="zh-CN"/>
              </w:rPr>
              <w:t>增压稠化仪、密度计、增压养护釜、称重显示控制器、氮气表、压力表、电子台秤、数显温度计</w:t>
            </w:r>
            <w:r>
              <w:rPr>
                <w:rFonts w:hint="eastAsia" w:ascii="宋体" w:hAnsi="宋体"/>
                <w:szCs w:val="21"/>
                <w:highlight w:val="none"/>
                <w:lang w:val="en-US" w:eastAsia="zh-CN"/>
              </w:rPr>
              <w:t>等，未能提供在用数显温度计有效的校准或检定证书。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highlight w:val="none"/>
              </w:rPr>
            </w:pPr>
            <w:r>
              <w:rPr>
                <w:rFonts w:hint="eastAsia" w:ascii="宋体"/>
                <w:color w:val="000000"/>
                <w:sz w:val="20"/>
                <w:szCs w:val="20"/>
                <w:highlight w:val="none"/>
              </w:rPr>
              <w:t>检测设备是否满足要求</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是</w:t>
            </w:r>
            <w:r>
              <w:rPr>
                <w:rFonts w:hint="eastAsia" w:asci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tabs>
                <w:tab w:val="left" w:pos="1080"/>
              </w:tabs>
              <w:spacing w:line="400" w:lineRule="exact"/>
              <w:rPr>
                <w:rFonts w:hint="default" w:ascii="宋体" w:eastAsia="宋体"/>
                <w:color w:val="000000"/>
                <w:sz w:val="20"/>
                <w:szCs w:val="20"/>
                <w:lang w:val="en-US" w:eastAsia="zh-CN"/>
              </w:rPr>
            </w:pPr>
            <w:r>
              <w:rPr>
                <w:rFonts w:hint="eastAsia" w:ascii="宋体"/>
                <w:color w:val="000000"/>
                <w:sz w:val="20"/>
                <w:szCs w:val="20"/>
              </w:rPr>
              <w:t>不可接受风险有：</w:t>
            </w:r>
            <w:r>
              <w:rPr>
                <w:rFonts w:hint="eastAsia" w:asciiTheme="minorEastAsia" w:hAnsiTheme="minorEastAsia" w:eastAsiaTheme="minorEastAsia" w:cstheme="minorEastAsia"/>
                <w:b w:val="0"/>
                <w:bCs w:val="0"/>
                <w:sz w:val="21"/>
                <w:szCs w:val="21"/>
                <w:highlight w:val="none"/>
              </w:rPr>
              <w:t>火灾</w:t>
            </w:r>
            <w:r>
              <w:rPr>
                <w:rFonts w:hint="eastAsia" w:asciiTheme="minorEastAsia" w:hAnsiTheme="minorEastAsia" w:eastAsiaTheme="minorEastAsia" w:cstheme="minorEastAsia"/>
                <w:b w:val="0"/>
                <w:bCs w:val="0"/>
                <w:sz w:val="21"/>
                <w:szCs w:val="21"/>
                <w:highlight w:val="none"/>
                <w:lang w:eastAsia="zh-CN"/>
              </w:rPr>
              <w:t>、</w:t>
            </w:r>
            <w:r>
              <w:rPr>
                <w:rFonts w:hint="eastAsia" w:asciiTheme="minorEastAsia" w:hAnsiTheme="minorEastAsia" w:eastAsiaTheme="minorEastAsia" w:cstheme="minorEastAsia"/>
                <w:b w:val="0"/>
                <w:bCs w:val="0"/>
                <w:sz w:val="21"/>
                <w:szCs w:val="21"/>
                <w:highlight w:val="none"/>
                <w:lang w:val="en-US" w:eastAsia="zh-CN"/>
              </w:rPr>
              <w:t>意外伤害（化学品泄露、货物砸伤等）、职业病。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针对不可接受风险建立了运行控制程序：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针对不可接受风险是否明确了监视和测量的要求：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综合部、业务部、生产部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加工过程、销售过程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综合部、生产部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办公场所、生产场所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hAnsi="宋体"/>
                <w:b/>
                <w:color w:val="000000" w:themeColor="text1"/>
                <w:sz w:val="21"/>
                <w:szCs w:val="21"/>
              </w:rPr>
            </w:pPr>
            <w:r>
              <w:rPr>
                <w:rFonts w:hint="eastAsia" w:ascii="宋体" w:hAnsi="宋体"/>
                <w:b/>
                <w:color w:val="000000" w:themeColor="text1"/>
                <w:sz w:val="21"/>
                <w:szCs w:val="21"/>
              </w:rPr>
              <w:t>了解内审的策划</w:t>
            </w:r>
            <w:r>
              <w:rPr>
                <w:rFonts w:ascii="宋体" w:hAnsi="宋体"/>
                <w:b/>
                <w:color w:val="000000" w:themeColor="text1"/>
                <w:sz w:val="21"/>
                <w:szCs w:val="21"/>
              </w:rPr>
              <w:t xml:space="preserve">; </w:t>
            </w:r>
          </w:p>
          <w:p>
            <w:pPr>
              <w:spacing w:line="260" w:lineRule="exact"/>
              <w:rPr>
                <w:rFonts w:ascii="宋体" w:hAnsi="Times New Roman" w:eastAsia="宋体" w:cs="Times New Roman"/>
                <w:b/>
                <w:color w:val="000000" w:themeColor="text1"/>
                <w:kern w:val="2"/>
                <w:sz w:val="21"/>
                <w:szCs w:val="21"/>
                <w:lang w:val="en-US" w:eastAsia="zh-CN" w:bidi="ar-SA"/>
              </w:rPr>
            </w:pPr>
            <w:r>
              <w:rPr>
                <w:rFonts w:hint="eastAsia" w:ascii="宋体" w:hAnsi="宋体"/>
                <w:color w:val="000000" w:themeColor="text1"/>
                <w:sz w:val="21"/>
                <w:szCs w:val="21"/>
              </w:rPr>
              <w:t>建立有《内部审核控制程</w:t>
            </w:r>
            <w:r>
              <w:rPr>
                <w:rFonts w:hint="eastAsia" w:ascii="宋体" w:hAnsi="宋体" w:cs="Times New Roman"/>
                <w:color w:val="000000" w:themeColor="text1"/>
                <w:sz w:val="21"/>
                <w:szCs w:val="21"/>
              </w:rPr>
              <w:t>序》，于202</w:t>
            </w:r>
            <w:r>
              <w:rPr>
                <w:rFonts w:hint="eastAsia" w:ascii="宋体" w:hAnsi="宋体" w:cs="Times New Roman"/>
                <w:color w:val="000000" w:themeColor="text1"/>
                <w:sz w:val="21"/>
                <w:szCs w:val="21"/>
                <w:lang w:val="en-US" w:eastAsia="zh-CN"/>
              </w:rPr>
              <w:t>1</w:t>
            </w:r>
            <w:r>
              <w:rPr>
                <w:rFonts w:hint="eastAsia" w:ascii="宋体" w:hAnsi="宋体" w:cs="Times New Roman"/>
                <w:color w:val="000000" w:themeColor="text1"/>
                <w:sz w:val="21"/>
                <w:szCs w:val="21"/>
              </w:rPr>
              <w:t>年</w:t>
            </w:r>
            <w:r>
              <w:rPr>
                <w:rFonts w:hint="eastAsia" w:ascii="宋体" w:hAnsi="宋体" w:cs="Times New Roman"/>
                <w:color w:val="000000" w:themeColor="text1"/>
                <w:sz w:val="21"/>
                <w:szCs w:val="21"/>
                <w:lang w:val="en-US" w:eastAsia="zh-CN"/>
              </w:rPr>
              <w:t>1</w:t>
            </w:r>
            <w:r>
              <w:rPr>
                <w:rFonts w:hint="eastAsia" w:ascii="宋体" w:hAnsi="宋体" w:cs="Times New Roman"/>
                <w:color w:val="000000" w:themeColor="text1"/>
                <w:sz w:val="21"/>
                <w:szCs w:val="21"/>
              </w:rPr>
              <w:t>月</w:t>
            </w:r>
            <w:r>
              <w:rPr>
                <w:rFonts w:hint="eastAsia" w:ascii="宋体" w:hAnsi="宋体" w:cs="Times New Roman"/>
                <w:color w:val="000000" w:themeColor="text1"/>
                <w:sz w:val="21"/>
                <w:szCs w:val="21"/>
                <w:lang w:val="en-US" w:eastAsia="zh-CN"/>
              </w:rPr>
              <w:t>25</w:t>
            </w:r>
            <w:r>
              <w:rPr>
                <w:rFonts w:hint="eastAsia" w:ascii="宋体" w:hAnsi="宋体" w:cs="Times New Roman"/>
                <w:color w:val="000000" w:themeColor="text1"/>
                <w:sz w:val="21"/>
                <w:szCs w:val="21"/>
              </w:rPr>
              <w:t>日进行了内部审核。内部审核组组成：审核组长：桂余映</w:t>
            </w:r>
            <w:r>
              <w:rPr>
                <w:rFonts w:hint="eastAsia" w:ascii="宋体" w:hAnsi="宋体"/>
                <w:color w:val="000000" w:themeColor="text1"/>
                <w:szCs w:val="21"/>
              </w:rPr>
              <w:t xml:space="preserve">    组员：胡长川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color w:val="000000" w:themeColor="text1"/>
                <w:sz w:val="21"/>
                <w:szCs w:val="21"/>
              </w:rPr>
            </w:pPr>
            <w:r>
              <w:rPr>
                <w:rFonts w:hint="eastAsia"/>
                <w:color w:val="000000" w:themeColor="text1"/>
                <w:sz w:val="21"/>
                <w:szCs w:val="21"/>
              </w:rPr>
              <w:t>了解内审是否覆盖了管理体系范围内的活动及标准的要求; （1）审核范围：与本公司</w:t>
            </w:r>
            <w:r>
              <w:rPr>
                <w:rFonts w:hint="eastAsia"/>
                <w:color w:val="000000" w:themeColor="text1"/>
                <w:sz w:val="21"/>
                <w:szCs w:val="21"/>
                <w:lang w:val="en-US" w:eastAsia="zh-CN"/>
              </w:rPr>
              <w:t>质量、环境、职业健康安全</w:t>
            </w:r>
            <w:r>
              <w:rPr>
                <w:rFonts w:hint="eastAsia"/>
                <w:color w:val="000000" w:themeColor="text1"/>
                <w:sz w:val="21"/>
                <w:szCs w:val="21"/>
              </w:rPr>
              <w:t>管理体系有关的所有部门、活动和人员</w:t>
            </w:r>
          </w:p>
          <w:p>
            <w:pPr>
              <w:spacing w:line="260" w:lineRule="exact"/>
              <w:rPr>
                <w:rFonts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rPr>
              <w:t>（2）审核准则：GB/T19001-2016</w:t>
            </w:r>
            <w:r>
              <w:rPr>
                <w:rFonts w:hint="eastAsia"/>
                <w:color w:val="000000" w:themeColor="text1"/>
                <w:sz w:val="21"/>
                <w:szCs w:val="21"/>
                <w:lang w:eastAsia="zh-CN"/>
              </w:rPr>
              <w:t>、</w:t>
            </w:r>
            <w:r>
              <w:rPr>
                <w:rFonts w:hint="eastAsia"/>
                <w:color w:val="000000" w:themeColor="text1"/>
                <w:sz w:val="21"/>
                <w:szCs w:val="21"/>
              </w:rPr>
              <w:t>ISO45001-2018标准，整合型手册、程序文件、适用的法律法规、相关方要求等。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themeColor="text1"/>
                <w:sz w:val="21"/>
                <w:szCs w:val="21"/>
              </w:rPr>
            </w:pPr>
            <w:r>
              <w:rPr>
                <w:rFonts w:hint="eastAsia" w:ascii="宋体" w:hAnsi="宋体"/>
                <w:b/>
                <w:color w:val="000000" w:themeColor="text1"/>
                <w:sz w:val="21"/>
                <w:szCs w:val="21"/>
              </w:rPr>
              <w:t>了解内审结论是什么？</w:t>
            </w:r>
          </w:p>
          <w:p>
            <w:pPr>
              <w:spacing w:line="260" w:lineRule="exact"/>
              <w:rPr>
                <w:rFonts w:ascii="宋体" w:hAnsi="宋体" w:eastAsia="宋体" w:cs="Times New Roman"/>
                <w:b/>
                <w:color w:val="000000" w:themeColor="text1"/>
                <w:kern w:val="2"/>
                <w:sz w:val="21"/>
                <w:szCs w:val="21"/>
                <w:lang w:val="en-US" w:eastAsia="zh-CN" w:bidi="ar-SA"/>
              </w:rPr>
            </w:pPr>
            <w:r>
              <w:rPr>
                <w:rFonts w:hint="eastAsia"/>
                <w:color w:val="000000" w:themeColor="text1"/>
                <w:sz w:val="21"/>
                <w:szCs w:val="21"/>
              </w:rPr>
              <w:t>公司管理体系符合标准和公司管理体系规定，得到了有效实施与保持的信息。 环境、职业健康安全体系的运行基本有效。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hAnsi="Times New Roman" w:eastAsia="宋体" w:cs="Times New Roman"/>
                <w:b/>
                <w:color w:val="000000" w:themeColor="text1"/>
                <w:kern w:val="2"/>
                <w:sz w:val="21"/>
                <w:szCs w:val="21"/>
                <w:lang w:val="en-US" w:eastAsia="zh-CN" w:bidi="ar-SA"/>
              </w:rPr>
            </w:pPr>
            <w:r>
              <w:rPr>
                <w:rFonts w:hint="eastAsia" w:ascii="宋体" w:hAnsi="宋体"/>
                <w:b/>
                <w:color w:val="000000" w:themeColor="text1"/>
                <w:sz w:val="21"/>
                <w:szCs w:val="21"/>
              </w:rPr>
              <w:t>了解管理评审的策划</w:t>
            </w:r>
            <w:r>
              <w:rPr>
                <w:rFonts w:ascii="宋体" w:hAnsi="宋体"/>
                <w:b/>
                <w:color w:val="000000" w:themeColor="text1"/>
                <w:sz w:val="21"/>
                <w:szCs w:val="21"/>
              </w:rPr>
              <w:t xml:space="preserve">; </w:t>
            </w:r>
            <w:r>
              <w:rPr>
                <w:rFonts w:hint="eastAsia"/>
                <w:color w:val="000000" w:themeColor="text1"/>
                <w:sz w:val="21"/>
                <w:szCs w:val="21"/>
              </w:rPr>
              <w:t>建立有《管理评审控制程序》，于</w:t>
            </w:r>
            <w:r>
              <w:rPr>
                <w:rFonts w:hint="eastAsia" w:ascii="Times New Roman" w:hAnsi="Times New Roman" w:cs="Times New Roman"/>
                <w:color w:val="000000" w:themeColor="text1"/>
                <w:sz w:val="21"/>
                <w:szCs w:val="21"/>
              </w:rPr>
              <w:t>202</w:t>
            </w:r>
            <w:r>
              <w:rPr>
                <w:rFonts w:hint="eastAsia" w:ascii="Times New Roman" w:hAnsi="Times New Roman" w:cs="Times New Roman"/>
                <w:color w:val="000000" w:themeColor="text1"/>
                <w:sz w:val="21"/>
                <w:szCs w:val="21"/>
                <w:lang w:val="en-US" w:eastAsia="zh-CN"/>
              </w:rPr>
              <w:t>1</w:t>
            </w:r>
            <w:r>
              <w:rPr>
                <w:rFonts w:hint="eastAsia" w:ascii="Times New Roman" w:hAnsi="Times New Roman" w:cs="Times New Roman"/>
                <w:color w:val="000000" w:themeColor="text1"/>
                <w:sz w:val="21"/>
                <w:szCs w:val="21"/>
              </w:rPr>
              <w:t>年</w:t>
            </w:r>
            <w:r>
              <w:rPr>
                <w:rFonts w:hint="eastAsia" w:ascii="Times New Roman" w:hAnsi="Times New Roman" w:cs="Times New Roman"/>
                <w:color w:val="000000" w:themeColor="text1"/>
                <w:sz w:val="21"/>
                <w:szCs w:val="21"/>
                <w:lang w:val="en-US" w:eastAsia="zh-CN"/>
              </w:rPr>
              <w:t>2</w:t>
            </w:r>
            <w:r>
              <w:rPr>
                <w:rFonts w:hint="eastAsia" w:ascii="Times New Roman" w:hAnsi="Times New Roman" w:cs="Times New Roman"/>
                <w:color w:val="000000" w:themeColor="text1"/>
                <w:sz w:val="21"/>
                <w:szCs w:val="21"/>
              </w:rPr>
              <w:t>月</w:t>
            </w:r>
            <w:r>
              <w:rPr>
                <w:rFonts w:hint="eastAsia" w:ascii="Times New Roman" w:hAnsi="Times New Roman" w:cs="Times New Roman"/>
                <w:color w:val="000000" w:themeColor="text1"/>
                <w:sz w:val="21"/>
                <w:szCs w:val="21"/>
                <w:lang w:val="en-US" w:eastAsia="zh-CN"/>
              </w:rPr>
              <w:t>19</w:t>
            </w:r>
            <w:r>
              <w:rPr>
                <w:rFonts w:hint="eastAsia" w:ascii="Times New Roman" w:hAnsi="Times New Roman" w:cs="Times New Roman"/>
                <w:color w:val="000000" w:themeColor="text1"/>
                <w:sz w:val="21"/>
                <w:szCs w:val="21"/>
              </w:rPr>
              <w:t>日由总经理主持就管理方针和目标，评价和审定管理体系运行的适宜性、充分性和有效性进</w:t>
            </w:r>
            <w:r>
              <w:rPr>
                <w:rFonts w:hint="eastAsia"/>
                <w:color w:val="000000" w:themeColor="text1"/>
                <w:sz w:val="21"/>
                <w:szCs w:val="21"/>
              </w:rPr>
              <w:t>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Times New Roman" w:eastAsia="宋体" w:cs="Times New Roman"/>
                <w:b/>
                <w:color w:val="000000" w:themeColor="text1"/>
                <w:kern w:val="2"/>
                <w:sz w:val="21"/>
                <w:szCs w:val="21"/>
                <w:lang w:val="en-US" w:eastAsia="zh-CN" w:bidi="ar-SA"/>
              </w:rPr>
            </w:pPr>
            <w:r>
              <w:rPr>
                <w:rFonts w:hint="eastAsia" w:ascii="宋体" w:hAnsi="宋体"/>
                <w:b/>
                <w:color w:val="000000" w:themeColor="text1"/>
                <w:sz w:val="21"/>
                <w:szCs w:val="21"/>
              </w:rPr>
              <w:t>了解管理评审输入是否充分</w:t>
            </w:r>
            <w:r>
              <w:rPr>
                <w:rFonts w:ascii="宋体" w:hAnsi="宋体"/>
                <w:b/>
                <w:color w:val="000000" w:themeColor="text1"/>
                <w:sz w:val="21"/>
                <w:szCs w:val="21"/>
              </w:rPr>
              <w:t xml:space="preserve">; </w:t>
            </w:r>
            <w:r>
              <w:rPr>
                <w:rFonts w:hint="eastAsia" w:ascii="宋体" w:hAnsi="宋体"/>
                <w:color w:val="000000" w:themeColor="text1"/>
                <w:kern w:val="0"/>
                <w:sz w:val="21"/>
                <w:szCs w:val="21"/>
              </w:rPr>
              <w:t>提供主要输入材料有：各部门总结，</w:t>
            </w:r>
            <w:r>
              <w:rPr>
                <w:rFonts w:hint="eastAsia" w:ascii="宋体"/>
                <w:color w:val="000000" w:themeColor="text1"/>
                <w:kern w:val="0"/>
                <w:sz w:val="21"/>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了解管理评审结论</w:t>
            </w:r>
            <w:r>
              <w:rPr>
                <w:rFonts w:hint="eastAsia" w:ascii="宋体" w:hAnsi="宋体"/>
                <w:b/>
                <w:color w:val="000000" w:themeColor="text1"/>
                <w:sz w:val="21"/>
                <w:szCs w:val="21"/>
              </w:rPr>
              <w:t>了解管理评审结论</w:t>
            </w:r>
            <w:r>
              <w:rPr>
                <w:rFonts w:ascii="宋体" w:hAnsi="宋体"/>
                <w:b/>
                <w:color w:val="000000" w:themeColor="text1"/>
                <w:sz w:val="21"/>
                <w:szCs w:val="21"/>
              </w:rPr>
              <w:t xml:space="preserve">; </w:t>
            </w:r>
            <w:r>
              <w:rPr>
                <w:rFonts w:hint="eastAsia"/>
                <w:color w:val="000000" w:themeColor="text1"/>
                <w:sz w:val="21"/>
                <w:szCs w:val="21"/>
              </w:rPr>
              <w:t>本公司的管理体系与标准的要求一致，体系策划是充分的，体系文件与公司目前的现状相一致，是适宜，体系经过现阶段的运行是有效的。</w:t>
            </w:r>
            <w:r>
              <w:rPr>
                <w:rFonts w:ascii="宋体" w:hAnsi="宋体"/>
                <w:b/>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497" w:type="dxa"/>
            <w:gridSpan w:val="2"/>
          </w:tcPr>
          <w:p>
            <w:pPr>
              <w:widowControl/>
              <w:jc w:val="left"/>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eastAsia="宋体" w:cs="宋体"/>
                <w:color w:val="00000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lang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z w:val="20"/>
                <w:szCs w:val="20"/>
                <w:lang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hAnsi="宋体"/>
          <w:szCs w:val="21"/>
        </w:rPr>
      </w:pPr>
      <w:r>
        <w:rPr>
          <w:rFonts w:ascii="宋体" w:hAnsi="宋体"/>
          <w:b/>
          <w:color w:val="000000"/>
          <w:sz w:val="20"/>
        </w:rPr>
        <w:t>QMS:</w:t>
      </w:r>
      <w:r>
        <w:rPr>
          <w:rFonts w:hint="eastAsia" w:ascii="宋体" w:hAnsi="宋体"/>
          <w:szCs w:val="21"/>
        </w:rPr>
        <w:t>油田助剂的加工、销售。</w:t>
      </w:r>
    </w:p>
    <w:p>
      <w:pPr>
        <w:ind w:firstLine="201" w:firstLineChars="100"/>
        <w:rPr>
          <w:rFonts w:ascii="宋体" w:hAnsi="宋体"/>
          <w:szCs w:val="21"/>
        </w:rPr>
      </w:pPr>
      <w:r>
        <w:rPr>
          <w:rFonts w:ascii="宋体" w:hAnsi="宋体"/>
          <w:b/>
          <w:color w:val="000000"/>
          <w:sz w:val="20"/>
        </w:rPr>
        <w:t>OHSMS</w:t>
      </w:r>
      <w:r>
        <w:rPr>
          <w:rFonts w:ascii="宋体" w:hAnsi="宋体"/>
          <w:b/>
          <w:color w:val="000000"/>
          <w:sz w:val="20"/>
          <w:lang w:val="en-GB"/>
        </w:rPr>
        <w:t>:</w:t>
      </w:r>
      <w:r>
        <w:rPr>
          <w:rFonts w:hint="eastAsia" w:ascii="宋体" w:hAnsi="宋体"/>
          <w:szCs w:val="21"/>
        </w:rPr>
        <w:t>油田助剂的加工、销售所涉及场所的相关职业健康安全管理活动 。</w:t>
      </w:r>
    </w:p>
    <w:p>
      <w:pPr>
        <w:spacing w:before="156" w:beforeLines="50" w:after="62"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60288" behindDoc="0" locked="0" layoutInCell="1" allowOverlap="1">
            <wp:simplePos x="0" y="0"/>
            <wp:positionH relativeFrom="column">
              <wp:posOffset>1793240</wp:posOffset>
            </wp:positionH>
            <wp:positionV relativeFrom="paragraph">
              <wp:posOffset>280035</wp:posOffset>
            </wp:positionV>
            <wp:extent cx="658495" cy="412115"/>
            <wp:effectExtent l="0" t="0" r="12065" b="14605"/>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6" cstate="print"/>
                    <a:srcRect/>
                    <a:stretch>
                      <a:fillRect/>
                    </a:stretch>
                  </pic:blipFill>
                  <pic:spPr>
                    <a:xfrm>
                      <a:off x="0" y="0"/>
                      <a:ext cx="658495" cy="412115"/>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color w:val="000000"/>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3328670</wp:posOffset>
            </wp:positionH>
            <wp:positionV relativeFrom="paragraph">
              <wp:posOffset>92075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7"/>
                    <a:stretch>
                      <a:fillRect/>
                    </a:stretch>
                  </pic:blipFill>
                  <pic:spPr>
                    <a:xfrm>
                      <a:off x="0" y="0"/>
                      <a:ext cx="544830" cy="24892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2416810</wp:posOffset>
            </wp:positionH>
            <wp:positionV relativeFrom="paragraph">
              <wp:posOffset>76835</wp:posOffset>
            </wp:positionV>
            <wp:extent cx="803910" cy="398145"/>
            <wp:effectExtent l="0" t="0" r="3810" b="13335"/>
            <wp:wrapNone/>
            <wp:docPr id="10" name="图片 10" descr="小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小号"/>
                    <pic:cNvPicPr>
                      <a:picLocks noChangeAspect="1"/>
                    </pic:cNvPicPr>
                  </pic:nvPicPr>
                  <pic:blipFill>
                    <a:blip r:embed="rId8"/>
                    <a:srcRect l="19829" t="27682" r="28673" b="20988"/>
                    <a:stretch>
                      <a:fillRect/>
                    </a:stretch>
                  </pic:blipFill>
                  <pic:spPr>
                    <a:xfrm>
                      <a:off x="0" y="0"/>
                      <a:ext cx="803910" cy="398145"/>
                    </a:xfrm>
                    <a:prstGeom prst="rect">
                      <a:avLst/>
                    </a:prstGeom>
                  </pic:spPr>
                </pic:pic>
              </a:graphicData>
            </a:graphic>
          </wp:anchor>
        </w:drawing>
      </w:r>
      <w:r>
        <w:rPr>
          <w:sz w:val="22"/>
          <w:szCs w:val="22"/>
        </w:rPr>
        <w:drawing>
          <wp:anchor distT="0" distB="0" distL="114300" distR="114300" simplePos="0" relativeHeight="251662336" behindDoc="0" locked="0" layoutInCell="1" allowOverlap="1">
            <wp:simplePos x="0" y="0"/>
            <wp:positionH relativeFrom="column">
              <wp:posOffset>1743075</wp:posOffset>
            </wp:positionH>
            <wp:positionV relativeFrom="paragraph">
              <wp:posOffset>67945</wp:posOffset>
            </wp:positionV>
            <wp:extent cx="516255" cy="338455"/>
            <wp:effectExtent l="0" t="0" r="1905" b="1206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9"/>
                    <a:stretch>
                      <a:fillRect/>
                    </a:stretch>
                  </pic:blipFill>
                  <pic:spPr>
                    <a:xfrm>
                      <a:off x="0" y="0"/>
                      <a:ext cx="516255" cy="338455"/>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2021.3.29</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ascii="Times New Roman" w:hAnsi="Times New Roman" w:eastAsia="宋体" w:cs="Times New Roman"/>
                <w:b/>
                <w:bCs/>
                <w:color w:val="000000"/>
                <w:kern w:val="2"/>
                <w:sz w:val="22"/>
                <w:szCs w:val="22"/>
                <w:lang w:val="en-US" w:eastAsia="zh-CN" w:bidi="ar-SA"/>
              </w:rPr>
              <w:t>查在用检具，不能提供在用数显温度计有效的校准或检定证书。</w:t>
            </w:r>
          </w:p>
        </w:tc>
        <w:tc>
          <w:tcPr>
            <w:tcW w:w="1688" w:type="dxa"/>
            <w:vAlign w:val="center"/>
          </w:tcPr>
          <w:p>
            <w:pPr>
              <w:pStyle w:val="5"/>
              <w:pBdr>
                <w:bottom w:val="none" w:color="auto" w:sz="0" w:space="0"/>
              </w:pBdr>
              <w:ind w:right="600"/>
              <w:jc w:val="both"/>
              <w:rPr>
                <w:color w:val="000000"/>
                <w:sz w:val="32"/>
                <w:szCs w:val="32"/>
              </w:rPr>
            </w:pPr>
            <w:r>
              <w:rPr>
                <w:rFonts w:hint="eastAsia" w:ascii="Times New Roman" w:hAnsi="Times New Roman" w:eastAsia="宋体" w:cs="Times New Roman"/>
                <w:b/>
                <w:bCs/>
                <w:color w:val="000000"/>
                <w:kern w:val="2"/>
                <w:sz w:val="22"/>
                <w:szCs w:val="22"/>
                <w:lang w:val="en-US" w:eastAsia="zh-CN" w:bidi="ar-SA"/>
              </w:rPr>
              <w:t>G</w:t>
            </w:r>
            <w:r>
              <w:rPr>
                <w:rFonts w:hint="eastAsia" w:ascii="Times New Roman" w:hAnsi="Times New Roman" w:eastAsia="宋体" w:cs="Times New Roman"/>
                <w:b/>
                <w:bCs/>
                <w:color w:val="000000"/>
                <w:kern w:val="2"/>
                <w:sz w:val="22"/>
                <w:szCs w:val="22"/>
                <w:lang w:val="en-US" w:eastAsia="zh-CN" w:bidi="ar-SA"/>
              </w:rPr>
              <w:t>B/T19001-2016</w:t>
            </w:r>
          </w:p>
        </w:tc>
        <w:tc>
          <w:tcPr>
            <w:tcW w:w="1811" w:type="dxa"/>
            <w:vAlign w:val="center"/>
          </w:tcPr>
          <w:p>
            <w:pPr>
              <w:pStyle w:val="5"/>
              <w:pBdr>
                <w:bottom w:val="none" w:color="auto" w:sz="0" w:space="0"/>
              </w:pBdr>
              <w:ind w:right="600"/>
              <w:jc w:val="both"/>
              <w:rPr>
                <w:rFonts w:hint="default" w:eastAsia="宋体"/>
                <w:color w:val="000000"/>
                <w:sz w:val="32"/>
                <w:szCs w:val="32"/>
                <w:lang w:val="en-US" w:eastAsia="zh-CN"/>
              </w:rPr>
            </w:pPr>
            <w:r>
              <w:rPr>
                <w:rFonts w:hint="eastAsia"/>
                <w:color w:val="000000"/>
                <w:sz w:val="28"/>
                <w:szCs w:val="28"/>
                <w:lang w:val="en-US" w:eastAsia="zh-CN"/>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548005</wp:posOffset>
                  </wp:positionH>
                  <wp:positionV relativeFrom="paragraph">
                    <wp:posOffset>165100</wp:posOffset>
                  </wp:positionV>
                  <wp:extent cx="635635" cy="398145"/>
                  <wp:effectExtent l="0" t="0" r="4445" b="13335"/>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6" cstate="print"/>
                          <a:srcRect/>
                          <a:stretch>
                            <a:fillRect/>
                          </a:stretch>
                        </pic:blipFill>
                        <pic:spPr>
                          <a:xfrm>
                            <a:off x="0" y="0"/>
                            <a:ext cx="635635" cy="398145"/>
                          </a:xfrm>
                          <a:prstGeom prst="rect">
                            <a:avLst/>
                          </a:prstGeom>
                          <a:noFill/>
                          <a:ln w="9525">
                            <a:noFill/>
                            <a:miter lim="800000"/>
                            <a:headEnd/>
                            <a:tailEnd/>
                          </a:ln>
                        </pic:spPr>
                      </pic:pic>
                    </a:graphicData>
                  </a:graphic>
                </wp:anchor>
              </w:drawing>
            </w:r>
            <w:r>
              <w:rPr>
                <w:rFonts w:hint="eastAsia"/>
                <w:b/>
                <w:color w:val="000000"/>
                <w:spacing w:val="-10"/>
                <w:szCs w:val="21"/>
                <w:lang w:eastAsia="zh-CN"/>
              </w:rPr>
              <w:t>■</w:t>
            </w:r>
            <w:r>
              <w:rPr>
                <w:rFonts w:hint="eastAsia"/>
                <w:b/>
                <w:color w:val="000000"/>
                <w:spacing w:val="-10"/>
                <w:szCs w:val="21"/>
              </w:rPr>
              <w:t>二阶段现场审核前不需提交书面材料的整改项（第</w:t>
            </w:r>
            <w:r>
              <w:rPr>
                <w:rFonts w:hint="eastAsia"/>
                <w:b/>
                <w:color w:val="000000"/>
                <w:spacing w:val="-10"/>
                <w:szCs w:val="21"/>
                <w:lang w:val="en-US" w:eastAsia="zh-CN"/>
              </w:rPr>
              <w:t>1</w:t>
            </w:r>
            <w:r>
              <w:rPr>
                <w:rFonts w:hint="eastAsia"/>
                <w:b/>
                <w:color w:val="000000"/>
                <w:spacing w:val="-10"/>
                <w:szCs w:val="21"/>
              </w:rPr>
              <w:t>项，共</w:t>
            </w:r>
            <w:r>
              <w:rPr>
                <w:rFonts w:hint="eastAsia"/>
                <w:b/>
                <w:color w:val="000000"/>
                <w:spacing w:val="-10"/>
                <w:szCs w:val="21"/>
                <w:lang w:val="en-US" w:eastAsia="zh-CN"/>
              </w:rPr>
              <w:t>1</w:t>
            </w:r>
            <w:r>
              <w:rPr>
                <w:rFonts w:hint="eastAsia"/>
                <w:b/>
                <w:color w:val="000000"/>
                <w:spacing w:val="-10"/>
                <w:szCs w:val="21"/>
              </w:rPr>
              <w:t>项）</w:t>
            </w:r>
          </w:p>
          <w:p>
            <w:pPr>
              <w:spacing w:line="280" w:lineRule="exact"/>
              <w:rPr>
                <w:b/>
                <w:color w:val="000000"/>
                <w:sz w:val="22"/>
                <w:szCs w:val="22"/>
              </w:rPr>
            </w:pPr>
            <w:r>
              <w:rPr>
                <w:rFonts w:hint="eastAsia"/>
                <w:b/>
                <w:color w:val="000000"/>
                <w:sz w:val="22"/>
                <w:szCs w:val="22"/>
              </w:rPr>
              <w:t>审核员：</w:t>
            </w:r>
          </w:p>
          <w:p>
            <w:pPr>
              <w:spacing w:line="280" w:lineRule="exact"/>
              <w:ind w:firstLine="3092" w:firstLineChars="1400"/>
              <w:rPr>
                <w:b/>
                <w:color w:val="000000"/>
                <w:sz w:val="22"/>
                <w:szCs w:val="22"/>
              </w:rPr>
            </w:pP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 xml:space="preserve">年 </w:t>
            </w:r>
            <w:r>
              <w:rPr>
                <w:rFonts w:hint="eastAsia"/>
                <w:b/>
                <w:color w:val="000000"/>
                <w:sz w:val="22"/>
                <w:szCs w:val="22"/>
                <w:lang w:val="en-US" w:eastAsia="zh-CN"/>
              </w:rPr>
              <w:t>3</w:t>
            </w:r>
            <w:r>
              <w:rPr>
                <w:rFonts w:hint="eastAsia"/>
                <w:b/>
                <w:color w:val="000000"/>
                <w:sz w:val="22"/>
                <w:szCs w:val="22"/>
              </w:rPr>
              <w:t xml:space="preserve">月 </w:t>
            </w:r>
            <w:r>
              <w:rPr>
                <w:rFonts w:hint="eastAsia"/>
                <w:b/>
                <w:color w:val="000000"/>
                <w:sz w:val="22"/>
                <w:szCs w:val="22"/>
                <w:lang w:val="en-US" w:eastAsia="zh-CN"/>
              </w:rPr>
              <w:t>29</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 xml:space="preserve">年 </w:t>
            </w:r>
            <w:r>
              <w:rPr>
                <w:rFonts w:hint="eastAsia"/>
                <w:b/>
                <w:color w:val="000000"/>
                <w:sz w:val="22"/>
                <w:szCs w:val="22"/>
                <w:lang w:val="en-US" w:eastAsia="zh-CN"/>
              </w:rPr>
              <w:t>3</w:t>
            </w:r>
            <w:r>
              <w:rPr>
                <w:rFonts w:hint="eastAsia"/>
                <w:b/>
                <w:color w:val="000000"/>
                <w:sz w:val="22"/>
                <w:szCs w:val="22"/>
              </w:rPr>
              <w:t xml:space="preserve">月 </w:t>
            </w:r>
            <w:r>
              <w:rPr>
                <w:rFonts w:hint="eastAsia"/>
                <w:b/>
                <w:color w:val="000000"/>
                <w:sz w:val="22"/>
                <w:szCs w:val="22"/>
                <w:lang w:val="en-US" w:eastAsia="zh-CN"/>
              </w:rPr>
              <w:t>29</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10128" w:type="dxa"/>
            <w:gridSpan w:val="4"/>
          </w:tcPr>
          <w:p>
            <w:pPr>
              <w:spacing w:line="360" w:lineRule="exact"/>
              <w:rPr>
                <w:rFonts w:hint="eastAsia" w:ascii="宋体" w:hAnsi="宋体" w:eastAsia="宋体" w:cs="Times New Roman"/>
                <w:b/>
                <w:bCs/>
                <w:color w:val="000000"/>
                <w:spacing w:val="-8"/>
                <w:sz w:val="21"/>
                <w:szCs w:val="21"/>
              </w:rPr>
            </w:pPr>
            <w:r>
              <w:rPr>
                <w:rFonts w:hint="eastAsia" w:ascii="宋体" w:hAnsi="宋体" w:eastAsia="宋体" w:cs="Times New Roman"/>
                <w:b/>
                <w:bCs/>
                <w:color w:val="000000"/>
                <w:spacing w:val="-8"/>
                <w:sz w:val="21"/>
                <w:szCs w:val="21"/>
              </w:rPr>
              <w:t>对一阶段现场审核问题整改结果的验证结论及推荐意见：</w:t>
            </w:r>
          </w:p>
          <w:p>
            <w:pPr>
              <w:spacing w:line="360" w:lineRule="exact"/>
              <w:rPr>
                <w:rFonts w:hint="eastAsia" w:ascii="宋体" w:hAnsi="宋体" w:eastAsia="宋体" w:cs="Times New Roman"/>
                <w:b/>
                <w:bCs/>
                <w:color w:val="000000"/>
                <w:spacing w:val="-8"/>
                <w:sz w:val="21"/>
                <w:szCs w:val="21"/>
              </w:rPr>
            </w:pPr>
            <w:r>
              <w:rPr>
                <w:rFonts w:hint="eastAsia" w:ascii="宋体" w:hAnsi="宋体" w:eastAsia="宋体" w:cs="Times New Roman"/>
                <w:b/>
                <w:bCs/>
                <w:color w:val="000000"/>
                <w:spacing w:val="-8"/>
                <w:sz w:val="21"/>
                <w:szCs w:val="21"/>
              </w:rPr>
              <w:t>□所有问题全部整改，并符合要求□未按期完成整改□整改后不符合要求，需重新整改.</w:t>
            </w:r>
          </w:p>
          <w:p>
            <w:pPr>
              <w:spacing w:line="360" w:lineRule="exact"/>
              <w:rPr>
                <w:rFonts w:hint="eastAsia" w:ascii="宋体" w:hAnsi="宋体" w:eastAsia="宋体" w:cs="Times New Roman"/>
                <w:b/>
                <w:bCs/>
                <w:color w:val="000000"/>
                <w:spacing w:val="-8"/>
                <w:sz w:val="21"/>
                <w:szCs w:val="21"/>
              </w:rPr>
            </w:pPr>
            <w:r>
              <w:rPr>
                <w:rFonts w:hint="eastAsia" w:ascii="宋体" w:hAnsi="宋体" w:eastAsia="宋体" w:cs="Times New Roman"/>
                <w:b/>
                <w:bCs/>
                <w:color w:val="000000"/>
                <w:spacing w:val="-8"/>
                <w:sz w:val="21"/>
                <w:szCs w:val="21"/>
              </w:rPr>
              <w:t>推荐意见：</w:t>
            </w:r>
            <w:r>
              <w:rPr>
                <w:rFonts w:hint="eastAsia" w:ascii="宋体" w:hAnsi="宋体" w:eastAsia="宋体" w:cs="Times New Roman"/>
                <w:b/>
                <w:bCs/>
                <w:color w:val="000000"/>
                <w:spacing w:val="-8"/>
                <w:sz w:val="21"/>
                <w:szCs w:val="21"/>
                <w:lang w:eastAsia="zh-CN"/>
              </w:rPr>
              <w:t>■</w:t>
            </w:r>
            <w:r>
              <w:rPr>
                <w:rFonts w:hint="eastAsia" w:ascii="宋体" w:hAnsi="宋体" w:eastAsia="宋体" w:cs="Times New Roman"/>
                <w:b/>
                <w:bCs/>
                <w:color w:val="000000"/>
                <w:spacing w:val="-8"/>
                <w:sz w:val="21"/>
                <w:szCs w:val="21"/>
              </w:rPr>
              <w:t>可进行二阶段审核□需再次安排一阶段审核□不进入二阶段审核</w:t>
            </w:r>
            <w:r>
              <w:rPr>
                <w:rFonts w:hint="eastAsia" w:ascii="宋体" w:hAnsi="宋体" w:eastAsia="宋体" w:cs="Times New Roman"/>
                <w:b/>
                <w:bCs/>
                <w:color w:val="000000"/>
                <w:spacing w:val="-8"/>
                <w:sz w:val="21"/>
                <w:szCs w:val="21"/>
              </w:rPr>
              <w:tab/>
            </w:r>
          </w:p>
          <w:p>
            <w:pPr>
              <w:spacing w:line="360" w:lineRule="exact"/>
              <w:rPr>
                <w:rFonts w:hint="eastAsia" w:ascii="宋体" w:hAnsi="宋体" w:eastAsia="宋体" w:cs="Times New Roman"/>
                <w:b/>
                <w:bCs/>
                <w:color w:val="000000"/>
                <w:spacing w:val="-8"/>
                <w:sz w:val="21"/>
                <w:szCs w:val="21"/>
              </w:rPr>
            </w:pPr>
            <w:r>
              <w:rPr>
                <w:rFonts w:hint="eastAsia"/>
                <w:b/>
                <w:sz w:val="21"/>
                <w:szCs w:val="21"/>
              </w:rPr>
              <w:drawing>
                <wp:anchor distT="0" distB="0" distL="114300" distR="114300" simplePos="0" relativeHeight="251665408" behindDoc="0" locked="0" layoutInCell="1" allowOverlap="1">
                  <wp:simplePos x="0" y="0"/>
                  <wp:positionH relativeFrom="column">
                    <wp:posOffset>560070</wp:posOffset>
                  </wp:positionH>
                  <wp:positionV relativeFrom="paragraph">
                    <wp:posOffset>144780</wp:posOffset>
                  </wp:positionV>
                  <wp:extent cx="725805" cy="454660"/>
                  <wp:effectExtent l="0" t="0" r="5715" b="2540"/>
                  <wp:wrapNone/>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noChangeArrowheads="1"/>
                          </pic:cNvPicPr>
                        </pic:nvPicPr>
                        <pic:blipFill>
                          <a:blip r:embed="rId6" cstate="print"/>
                          <a:srcRect/>
                          <a:stretch>
                            <a:fillRect/>
                          </a:stretch>
                        </pic:blipFill>
                        <pic:spPr>
                          <a:xfrm>
                            <a:off x="0" y="0"/>
                            <a:ext cx="725805" cy="454660"/>
                          </a:xfrm>
                          <a:prstGeom prst="rect">
                            <a:avLst/>
                          </a:prstGeom>
                          <a:noFill/>
                          <a:ln w="9525">
                            <a:noFill/>
                            <a:miter lim="800000"/>
                            <a:headEnd/>
                            <a:tailEnd/>
                          </a:ln>
                        </pic:spPr>
                      </pic:pic>
                    </a:graphicData>
                  </a:graphic>
                </wp:anchor>
              </w:drawing>
            </w:r>
          </w:p>
          <w:p>
            <w:pPr>
              <w:spacing w:line="360" w:lineRule="exact"/>
              <w:rPr>
                <w:rFonts w:hint="eastAsia" w:ascii="宋体" w:hAnsi="宋体" w:eastAsia="宋体" w:cs="Times New Roman"/>
                <w:b/>
                <w:bCs/>
                <w:color w:val="000000"/>
                <w:spacing w:val="-8"/>
                <w:sz w:val="21"/>
                <w:szCs w:val="21"/>
              </w:rPr>
            </w:pPr>
            <w:r>
              <w:rPr>
                <w:rFonts w:hint="eastAsia" w:ascii="宋体" w:hAnsi="宋体" w:eastAsia="宋体" w:cs="Times New Roman"/>
                <w:b/>
                <w:bCs/>
                <w:color w:val="000000"/>
                <w:spacing w:val="-8"/>
                <w:sz w:val="21"/>
                <w:szCs w:val="21"/>
              </w:rPr>
              <w:t>验证人：</w:t>
            </w:r>
            <w:r>
              <w:rPr>
                <w:rFonts w:hint="eastAsia" w:ascii="宋体" w:hAnsi="宋体" w:eastAsia="宋体" w:cs="Times New Roman"/>
                <w:b/>
                <w:bCs/>
                <w:color w:val="000000"/>
                <w:spacing w:val="-8"/>
                <w:sz w:val="21"/>
                <w:szCs w:val="21"/>
                <w:lang w:val="en-US" w:eastAsia="zh-CN"/>
              </w:rPr>
              <w:t xml:space="preserve">                       </w:t>
            </w:r>
            <w:r>
              <w:rPr>
                <w:rFonts w:hint="eastAsia" w:ascii="宋体" w:hAnsi="宋体" w:eastAsia="宋体" w:cs="Times New Roman"/>
                <w:b/>
                <w:bCs/>
                <w:color w:val="000000"/>
                <w:spacing w:val="-8"/>
                <w:sz w:val="21"/>
                <w:szCs w:val="21"/>
              </w:rPr>
              <w:t>日期：</w:t>
            </w:r>
            <w:r>
              <w:rPr>
                <w:rFonts w:hint="eastAsia" w:ascii="宋体" w:hAnsi="宋体" w:eastAsia="宋体" w:cs="Times New Roman"/>
                <w:b/>
                <w:bCs/>
                <w:color w:val="000000"/>
                <w:spacing w:val="-8"/>
                <w:sz w:val="21"/>
                <w:szCs w:val="21"/>
                <w:lang w:val="en-US" w:eastAsia="zh-CN"/>
              </w:rPr>
              <w:t>2021</w:t>
            </w:r>
            <w:r>
              <w:rPr>
                <w:rFonts w:hint="eastAsia" w:ascii="宋体" w:hAnsi="宋体" w:eastAsia="宋体" w:cs="Times New Roman"/>
                <w:b/>
                <w:bCs/>
                <w:color w:val="000000"/>
                <w:spacing w:val="-8"/>
                <w:sz w:val="21"/>
                <w:szCs w:val="21"/>
              </w:rPr>
              <w:t xml:space="preserve">年 </w:t>
            </w:r>
            <w:r>
              <w:rPr>
                <w:rFonts w:hint="eastAsia" w:ascii="宋体" w:hAnsi="宋体" w:eastAsia="宋体" w:cs="Times New Roman"/>
                <w:b/>
                <w:bCs/>
                <w:color w:val="000000"/>
                <w:spacing w:val="-8"/>
                <w:sz w:val="21"/>
                <w:szCs w:val="21"/>
                <w:lang w:val="en-US" w:eastAsia="zh-CN"/>
              </w:rPr>
              <w:t>3</w:t>
            </w:r>
            <w:r>
              <w:rPr>
                <w:rFonts w:hint="eastAsia" w:ascii="宋体" w:hAnsi="宋体" w:eastAsia="宋体" w:cs="Times New Roman"/>
                <w:b/>
                <w:bCs/>
                <w:color w:val="000000"/>
                <w:spacing w:val="-8"/>
                <w:sz w:val="21"/>
                <w:szCs w:val="21"/>
              </w:rPr>
              <w:t xml:space="preserve">月 </w:t>
            </w:r>
            <w:r>
              <w:rPr>
                <w:rFonts w:hint="eastAsia" w:ascii="宋体" w:hAnsi="宋体" w:eastAsia="宋体" w:cs="Times New Roman"/>
                <w:b/>
                <w:bCs/>
                <w:color w:val="000000"/>
                <w:spacing w:val="-8"/>
                <w:sz w:val="21"/>
                <w:szCs w:val="21"/>
                <w:lang w:val="en-US" w:eastAsia="zh-CN"/>
              </w:rPr>
              <w:t>29</w:t>
            </w:r>
            <w:r>
              <w:rPr>
                <w:rFonts w:hint="eastAsia" w:ascii="宋体" w:hAnsi="宋体" w:eastAsia="宋体" w:cs="Times New Roman"/>
                <w:b/>
                <w:bCs/>
                <w:color w:val="000000"/>
                <w:spacing w:val="-8"/>
                <w:sz w:val="21"/>
                <w:szCs w:val="21"/>
              </w:rPr>
              <w:t xml:space="preserve"> 日</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A5EE4C"/>
    <w:multiLevelType w:val="singleLevel"/>
    <w:tmpl w:val="B3A5EE4C"/>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450AE3"/>
    <w:rsid w:val="1F3E1CF2"/>
    <w:rsid w:val="3CC27CF9"/>
    <w:rsid w:val="41601CFC"/>
    <w:rsid w:val="536A03B1"/>
    <w:rsid w:val="553C72D2"/>
    <w:rsid w:val="557A613A"/>
    <w:rsid w:val="68D737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basedOn w:val="1"/>
    <w:qFormat/>
    <w:uiPriority w:val="0"/>
    <w:pPr>
      <w:spacing w:before="25" w:after="25"/>
    </w:pPr>
    <w:rPr>
      <w:bCs/>
      <w:spacing w:val="10"/>
    </w:rPr>
  </w:style>
  <w:style w:type="character" w:customStyle="1" w:styleId="11">
    <w:name w:val="批注框文本 字符"/>
    <w:link w:val="3"/>
    <w:semiHidden/>
    <w:qFormat/>
    <w:locked/>
    <w:uiPriority w:val="99"/>
    <w:rPr>
      <w:rFonts w:ascii="Times New Roman" w:hAnsi="Times New Roman" w:eastAsia="宋体" w:cs="Times New Roman"/>
      <w:sz w:val="18"/>
      <w:szCs w:val="18"/>
    </w:rPr>
  </w:style>
  <w:style w:type="character" w:customStyle="1" w:styleId="12">
    <w:name w:val="页脚 字符"/>
    <w:link w:val="4"/>
    <w:qFormat/>
    <w:locked/>
    <w:uiPriority w:val="99"/>
    <w:rPr>
      <w:rFonts w:ascii="Times New Roman" w:hAnsi="Times New Roman" w:eastAsia="宋体" w:cs="Times New Roman"/>
      <w:sz w:val="18"/>
      <w:szCs w:val="18"/>
    </w:rPr>
  </w:style>
  <w:style w:type="character" w:customStyle="1" w:styleId="13">
    <w:name w:val="页眉 字符"/>
    <w:link w:val="5"/>
    <w:locked/>
    <w:uiPriority w:val="99"/>
    <w:rPr>
      <w:rFonts w:ascii="Calibri" w:hAnsi="Calibri" w:eastAsia="宋体" w:cs="Times New Roman"/>
      <w:sz w:val="18"/>
      <w:szCs w:val="18"/>
    </w:rPr>
  </w:style>
  <w:style w:type="character" w:customStyle="1" w:styleId="14">
    <w:name w:val="副标题 字符"/>
    <w:link w:val="6"/>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2021-03-30T04:39:13Z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4FA9BD3A03BF4A64A4D429E4194BF68E</vt:lpwstr>
  </property>
</Properties>
</file>