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受审核部门：管理层、</w:t>
      </w:r>
      <w:r>
        <w:rPr>
          <w:rFonts w:hint="eastAsia"/>
          <w:sz w:val="24"/>
          <w:szCs w:val="24"/>
          <w:lang w:eastAsia="zh-CN"/>
        </w:rPr>
        <w:t>综合部</w:t>
      </w:r>
      <w:r>
        <w:rPr>
          <w:rFonts w:hint="eastAsia"/>
          <w:sz w:val="24"/>
          <w:szCs w:val="24"/>
        </w:rPr>
        <w:t>、</w:t>
      </w:r>
      <w:r>
        <w:rPr>
          <w:rFonts w:hint="eastAsia"/>
          <w:sz w:val="24"/>
          <w:szCs w:val="24"/>
          <w:lang w:val="en-US" w:eastAsia="zh-CN"/>
        </w:rPr>
        <w:t xml:space="preserve">生产部、业务部    </w:t>
      </w:r>
    </w:p>
    <w:p>
      <w:pPr>
        <w:spacing w:line="480" w:lineRule="exact"/>
        <w:jc w:val="left"/>
        <w:rPr>
          <w:rFonts w:hint="default" w:ascii="隶书" w:hAnsi="宋体" w:eastAsia="宋体"/>
          <w:bCs/>
          <w:color w:val="000000"/>
          <w:sz w:val="36"/>
          <w:szCs w:val="36"/>
          <w:lang w:val="en-US" w:eastAsia="zh-CN"/>
        </w:rPr>
      </w:pPr>
      <w:r>
        <w:rPr>
          <w:rFonts w:hint="eastAsia"/>
          <w:sz w:val="24"/>
          <w:szCs w:val="24"/>
        </w:rPr>
        <w:t>陪同人员：桂余映，胡长川</w:t>
      </w:r>
      <w:r>
        <w:rPr>
          <w:rFonts w:hint="eastAsia"/>
          <w:sz w:val="24"/>
          <w:szCs w:val="24"/>
          <w:lang w:val="en-US" w:eastAsia="zh-CN"/>
        </w:rPr>
        <w:t xml:space="preserve">，  </w:t>
      </w: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lang w:val="en-US" w:eastAsia="zh-CN"/>
        </w:rPr>
        <w:t>冉景洲、余家龙、陈伟</w:t>
      </w:r>
      <w:r>
        <w:rPr>
          <w:rFonts w:hint="eastAsia"/>
          <w:sz w:val="24"/>
          <w:szCs w:val="24"/>
          <w:lang w:eastAsia="zh-CN"/>
        </w:rPr>
        <w:t>，</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2021年3月</w:t>
      </w:r>
      <w:r>
        <w:rPr>
          <w:rFonts w:hint="eastAsia"/>
          <w:sz w:val="24"/>
          <w:szCs w:val="24"/>
          <w:lang w:val="en-US" w:eastAsia="zh-CN"/>
        </w:rPr>
        <w:t>29</w:t>
      </w:r>
      <w:r>
        <w:rPr>
          <w:rFonts w:hint="eastAsia"/>
          <w:sz w:val="24"/>
          <w:szCs w:val="24"/>
          <w:lang w:eastAsia="zh-CN"/>
        </w:rPr>
        <w:t>日</w:t>
      </w:r>
      <w:r>
        <w:rPr>
          <w:rFonts w:hint="eastAsia"/>
          <w:sz w:val="24"/>
          <w:szCs w:val="24"/>
          <w:lang w:val="en-US" w:eastAsia="zh-CN"/>
        </w:rPr>
        <w:t>上午</w:t>
      </w:r>
    </w:p>
    <w:tbl>
      <w:tblPr>
        <w:tblStyle w:val="7"/>
        <w:tblW w:w="151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25"/>
        <w:gridCol w:w="1004"/>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6"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sz w:val="24"/>
                <w:szCs w:val="24"/>
                <w:lang w:val="en-US" w:eastAsia="zh-CN"/>
              </w:rPr>
              <w:t>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25"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07"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625" w:type="dxa"/>
          </w:tcPr>
          <w:p>
            <w:pPr>
              <w:ind w:firstLine="420" w:firstLineChars="200"/>
              <w:rPr>
                <w:rFonts w:hint="eastAsia"/>
                <w:szCs w:val="21"/>
              </w:rPr>
            </w:pPr>
            <w:r>
              <w:rPr>
                <w:rFonts w:hint="eastAsia"/>
                <w:szCs w:val="21"/>
              </w:rPr>
              <w:t>成都博世威科技有限公司是一家主营油田外加剂及现场技术服务的科技公司</w:t>
            </w:r>
            <w:r>
              <w:rPr>
                <w:rFonts w:hint="eastAsia"/>
                <w:szCs w:val="21"/>
                <w:lang w:val="en-US" w:eastAsia="zh-CN"/>
              </w:rPr>
              <w:t>。</w:t>
            </w:r>
            <w:r>
              <w:rPr>
                <w:rFonts w:hint="eastAsia"/>
                <w:szCs w:val="21"/>
              </w:rPr>
              <w:t>公司产品及服务广泛应用于塔里木油田、新疆油田(服务商)川渝输气田、延长油田、东油田和吉林油田等。现有员工</w:t>
            </w:r>
            <w:r>
              <w:rPr>
                <w:rFonts w:hint="eastAsia"/>
                <w:szCs w:val="21"/>
                <w:lang w:val="en-US" w:eastAsia="zh-CN"/>
              </w:rPr>
              <w:t>15</w:t>
            </w:r>
            <w:r>
              <w:rPr>
                <w:rFonts w:hint="eastAsia"/>
                <w:szCs w:val="21"/>
              </w:rPr>
              <w:t>人，目前经营情况良好。</w:t>
            </w:r>
          </w:p>
          <w:p>
            <w:pPr>
              <w:pStyle w:val="2"/>
              <w:rPr>
                <w:rFonts w:hint="eastAsia"/>
              </w:rPr>
            </w:pPr>
          </w:p>
          <w:p>
            <w:pPr>
              <w:spacing w:line="0" w:lineRule="atLeast"/>
              <w:ind w:firstLine="420" w:firstLineChars="200"/>
              <w:jc w:val="left"/>
              <w:rPr>
                <w:rFonts w:ascii="宋体" w:hAnsi="宋体"/>
                <w:szCs w:val="21"/>
              </w:rPr>
            </w:pPr>
            <w:r>
              <w:rPr>
                <w:rFonts w:hint="eastAsia" w:ascii="宋体" w:hAnsi="宋体"/>
                <w:szCs w:val="21"/>
              </w:rPr>
              <w:t>查见企业营业执照副本，企业经营范围包含认证产品，具备有效资格，详见复印件。</w:t>
            </w:r>
          </w:p>
          <w:p>
            <w:pPr>
              <w:pStyle w:val="2"/>
              <w:rPr>
                <w:rFonts w:hint="eastAsia"/>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三</w:t>
            </w:r>
            <w:r>
              <w:rPr>
                <w:rFonts w:hint="eastAsia" w:ascii="宋体" w:hAnsi="宋体"/>
                <w:szCs w:val="21"/>
              </w:rPr>
              <w:t>个部门：</w:t>
            </w:r>
            <w:r>
              <w:rPr>
                <w:rFonts w:hint="eastAsia" w:ascii="宋体" w:hAnsi="宋体"/>
                <w:szCs w:val="21"/>
                <w:lang w:eastAsia="zh-CN"/>
              </w:rPr>
              <w:t>综合部</w:t>
            </w:r>
            <w:r>
              <w:rPr>
                <w:rFonts w:hint="eastAsia" w:ascii="宋体" w:hAnsi="宋体"/>
                <w:szCs w:val="21"/>
              </w:rPr>
              <w:t>、</w:t>
            </w:r>
            <w:r>
              <w:rPr>
                <w:rFonts w:hint="eastAsia" w:ascii="宋体" w:hAnsi="宋体"/>
                <w:szCs w:val="21"/>
                <w:lang w:eastAsia="zh-CN"/>
              </w:rPr>
              <w:t>生产部、</w:t>
            </w:r>
            <w:r>
              <w:rPr>
                <w:rFonts w:hint="eastAsia" w:ascii="宋体" w:hAnsi="宋体"/>
                <w:szCs w:val="21"/>
                <w:lang w:val="en-US" w:eastAsia="zh-CN"/>
              </w:rPr>
              <w:t>业务部</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9" w:leftChars="0" w:firstLine="428" w:firstLineChars="204"/>
              <w:jc w:val="left"/>
              <w:rPr>
                <w:rFonts w:ascii="宋体" w:hAnsi="宋体"/>
                <w:szCs w:val="21"/>
              </w:rPr>
            </w:pPr>
            <w:r>
              <w:rPr>
                <w:rFonts w:hint="eastAsia" w:ascii="宋体" w:hAnsi="宋体"/>
                <w:szCs w:val="21"/>
              </w:rPr>
              <w:t>核实：生产地址：四川省德阳市广汉市新丰镇玉溪路三段六号；经营地址：四川省德阳市广汉市新丰镇玉溪路三段六号1栋楼2层</w:t>
            </w:r>
            <w:r>
              <w:rPr>
                <w:rFonts w:hint="eastAsia"/>
                <w:color w:val="000000"/>
                <w:szCs w:val="21"/>
                <w:lang w:val="de-DE"/>
              </w:rPr>
              <w:t>，与</w:t>
            </w:r>
            <w:r>
              <w:rPr>
                <w:rFonts w:hint="eastAsia" w:ascii="宋体" w:hAnsi="宋体"/>
                <w:szCs w:val="21"/>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spacing w:line="300" w:lineRule="auto"/>
              <w:rPr>
                <w:rFonts w:ascii="宋体" w:hAnsi="宋体"/>
                <w:szCs w:val="21"/>
              </w:rPr>
            </w:pPr>
            <w:r>
              <w:rPr>
                <w:rFonts w:ascii="宋体" w:hAnsi="宋体"/>
                <w:b/>
                <w:color w:val="000000"/>
                <w:sz w:val="20"/>
              </w:rPr>
              <w:t>QMS:</w:t>
            </w:r>
            <w:r>
              <w:rPr>
                <w:rFonts w:hint="eastAsia" w:ascii="宋体" w:hAnsi="宋体"/>
                <w:szCs w:val="21"/>
              </w:rPr>
              <w:t>油田助剂的加工、销售。</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油田助剂的加工、销售所涉及场所的相关职业健康安全管理活动 。</w:t>
            </w:r>
          </w:p>
          <w:p>
            <w:pPr>
              <w:rPr>
                <w:rFonts w:ascii="宋体" w:hAnsi="宋体"/>
                <w:color w:val="FF0000"/>
                <w:szCs w:val="21"/>
              </w:rPr>
            </w:pPr>
            <w:r>
              <w:rPr>
                <w:rFonts w:hint="eastAsia" w:ascii="宋体" w:hAnsi="宋体"/>
                <w:szCs w:val="21"/>
              </w:rPr>
              <w:t>   询问，主要设备为</w:t>
            </w:r>
            <w:r>
              <w:rPr>
                <w:rFonts w:hint="eastAsia" w:ascii="宋体" w:hAnsi="宋体"/>
                <w:szCs w:val="21"/>
                <w:lang w:val="en-US" w:eastAsia="zh-CN"/>
              </w:rPr>
              <w:t>电脑、打印机、搪瓷反应釜、立式水火管燃气锅炉、抽料泵、钢丝软管、手动叉车、1T升降机</w:t>
            </w:r>
            <w:r>
              <w:rPr>
                <w:rFonts w:hint="eastAsia" w:ascii="宋体" w:hAnsi="宋体"/>
                <w:szCs w:val="21"/>
              </w:rPr>
              <w:t>等。</w:t>
            </w:r>
          </w:p>
          <w:p>
            <w:pPr>
              <w:spacing w:line="400" w:lineRule="exact"/>
              <w:jc w:val="left"/>
              <w:rPr>
                <w:rFonts w:ascii="宋体" w:hAnsi="宋体"/>
                <w:szCs w:val="21"/>
              </w:rPr>
            </w:pPr>
            <w:r>
              <w:rPr>
                <w:rFonts w:hint="eastAsia" w:ascii="宋体" w:hAnsi="宋体"/>
                <w:szCs w:val="21"/>
                <w:lang w:val="en-US" w:eastAsia="zh-CN"/>
              </w:rPr>
              <w:t>关键/确认</w:t>
            </w:r>
            <w:r>
              <w:rPr>
                <w:rFonts w:hint="eastAsia" w:ascii="宋体" w:hAnsi="宋体"/>
                <w:szCs w:val="21"/>
              </w:rPr>
              <w:t>过程：</w:t>
            </w:r>
            <w:r>
              <w:rPr>
                <w:rFonts w:hint="eastAsia" w:ascii="宋体" w:hAnsi="宋体"/>
                <w:szCs w:val="21"/>
                <w:lang w:val="en-US" w:eastAsia="zh-CN"/>
              </w:rPr>
              <w:t>搅拌</w:t>
            </w:r>
            <w:r>
              <w:rPr>
                <w:rFonts w:hint="eastAsia" w:ascii="宋体" w:hAnsi="宋体"/>
                <w:szCs w:val="21"/>
              </w:rPr>
              <w:t>过程</w:t>
            </w:r>
            <w:r>
              <w:rPr>
                <w:rFonts w:hint="eastAsia" w:ascii="宋体" w:hAnsi="宋体"/>
                <w:szCs w:val="21"/>
                <w:lang w:eastAsia="zh-CN"/>
              </w:rPr>
              <w:t>、</w:t>
            </w:r>
            <w:r>
              <w:rPr>
                <w:rFonts w:hint="eastAsia" w:ascii="宋体" w:hAnsi="宋体"/>
                <w:szCs w:val="21"/>
                <w:lang w:val="en-US" w:eastAsia="zh-CN"/>
              </w:rPr>
              <w:t>销售过程</w:t>
            </w:r>
            <w:r>
              <w:rPr>
                <w:rFonts w:hint="eastAsia" w:ascii="宋体" w:hAnsi="宋体"/>
                <w:szCs w:val="21"/>
              </w:rPr>
              <w:t>。</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w:t>
            </w:r>
            <w:r>
              <w:rPr>
                <w:rFonts w:hint="eastAsia" w:ascii="宋体" w:hAnsi="宋体"/>
                <w:szCs w:val="21"/>
                <w:lang w:eastAsia="zh-CN"/>
              </w:rPr>
              <w:t>综合部</w:t>
            </w:r>
            <w:r>
              <w:rPr>
                <w:rFonts w:hint="eastAsia" w:ascii="宋体" w:hAnsi="宋体"/>
                <w:szCs w:val="21"/>
              </w:rPr>
              <w:t>、</w:t>
            </w:r>
            <w:r>
              <w:rPr>
                <w:rFonts w:hint="eastAsia" w:ascii="宋体" w:hAnsi="宋体"/>
                <w:szCs w:val="21"/>
                <w:lang w:val="en-US" w:eastAsia="zh-CN"/>
              </w:rPr>
              <w:t>业务部、</w:t>
            </w:r>
            <w:r>
              <w:rPr>
                <w:rFonts w:hint="eastAsia" w:ascii="宋体" w:hAnsi="宋体"/>
                <w:szCs w:val="21"/>
                <w:lang w:eastAsia="zh-CN"/>
              </w:rPr>
              <w:t>生产部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26</w:t>
            </w:r>
            <w:r>
              <w:rPr>
                <w:rFonts w:hint="eastAsia" w:ascii="宋体" w:hAnsi="宋体"/>
                <w:kern w:val="44"/>
                <w:szCs w:val="21"/>
              </w:rPr>
              <w:t>个。</w:t>
            </w:r>
          </w:p>
        </w:tc>
        <w:tc>
          <w:tcPr>
            <w:tcW w:w="1004"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7"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625" w:type="dxa"/>
          </w:tcPr>
          <w:p>
            <w:pPr>
              <w:pStyle w:val="2"/>
              <w:rPr>
                <w:rFonts w:hint="eastAsia"/>
                <w:sz w:val="21"/>
                <w:szCs w:val="16"/>
                <w:lang w:eastAsia="zh-CN"/>
              </w:rPr>
            </w:pPr>
            <w:r>
              <w:rPr>
                <w:rFonts w:hint="eastAsia"/>
                <w:sz w:val="21"/>
                <w:szCs w:val="16"/>
                <w:lang w:eastAsia="zh-CN"/>
              </w:rPr>
              <w:t>质量、环境、职业健康安全方针：</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质量为本、顾客满意</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安全生产、保护环境</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全员参与、持续改进</w:t>
            </w:r>
          </w:p>
          <w:p>
            <w:pPr>
              <w:numPr>
                <w:ilvl w:val="0"/>
                <w:numId w:val="0"/>
              </w:num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质量</w:t>
            </w:r>
            <w:r>
              <w:rPr>
                <w:rFonts w:hint="eastAsia" w:ascii="宋体" w:hAnsi="宋体"/>
                <w:color w:val="000000"/>
                <w:sz w:val="21"/>
                <w:szCs w:val="21"/>
                <w:lang w:eastAsia="zh-CN"/>
              </w:rPr>
              <w:t>、</w:t>
            </w:r>
            <w:r>
              <w:rPr>
                <w:rFonts w:hint="eastAsia" w:ascii="宋体" w:hAnsi="宋体"/>
                <w:color w:val="000000"/>
                <w:sz w:val="21"/>
                <w:szCs w:val="21"/>
              </w:rPr>
              <w:t>环境</w:t>
            </w:r>
            <w:r>
              <w:rPr>
                <w:rFonts w:hint="eastAsia" w:ascii="宋体" w:hAnsi="宋体"/>
                <w:color w:val="000000"/>
                <w:sz w:val="21"/>
                <w:szCs w:val="21"/>
                <w:lang w:eastAsia="zh-CN"/>
              </w:rPr>
              <w:t>、</w:t>
            </w:r>
            <w:r>
              <w:rPr>
                <w:rFonts w:hint="eastAsia" w:ascii="宋体" w:hAnsi="宋体"/>
                <w:color w:val="000000"/>
                <w:sz w:val="21"/>
                <w:szCs w:val="21"/>
              </w:rPr>
              <w:t>职业健康安全目标：</w:t>
            </w:r>
          </w:p>
          <w:p>
            <w:pPr>
              <w:numPr>
                <w:ilvl w:val="0"/>
                <w:numId w:val="0"/>
              </w:numPr>
              <w:tabs>
                <w:tab w:val="left" w:pos="3731"/>
              </w:tabs>
              <w:adjustRightInd w:val="0"/>
              <w:snapToGrid w:val="0"/>
              <w:spacing w:line="312" w:lineRule="auto"/>
              <w:ind w:leftChars="0"/>
              <w:rPr>
                <w:rFonts w:hint="eastAsia" w:ascii="宋体" w:hAnsi="宋体"/>
                <w:color w:val="000000"/>
                <w:sz w:val="21"/>
                <w:szCs w:val="21"/>
              </w:rPr>
            </w:pPr>
            <w:r>
              <w:rPr>
                <w:rFonts w:hint="eastAsia" w:ascii="宋体" w:hAnsi="宋体"/>
                <w:color w:val="000000"/>
                <w:sz w:val="21"/>
                <w:szCs w:val="21"/>
              </w:rPr>
              <w:t>对固体、废弃物合规处置率100%</w:t>
            </w:r>
          </w:p>
          <w:p>
            <w:pPr>
              <w:numPr>
                <w:ilvl w:val="0"/>
                <w:numId w:val="0"/>
              </w:numPr>
              <w:tabs>
                <w:tab w:val="left" w:pos="3731"/>
              </w:tabs>
              <w:adjustRightInd w:val="0"/>
              <w:snapToGrid w:val="0"/>
              <w:spacing w:line="312" w:lineRule="auto"/>
              <w:ind w:leftChars="0"/>
              <w:rPr>
                <w:rFonts w:hint="eastAsia" w:ascii="宋体" w:hAnsi="宋体"/>
                <w:color w:val="000000"/>
                <w:sz w:val="21"/>
                <w:szCs w:val="21"/>
              </w:rPr>
            </w:pPr>
            <w:r>
              <w:rPr>
                <w:rFonts w:hint="eastAsia" w:ascii="宋体" w:hAnsi="宋体"/>
                <w:color w:val="000000"/>
                <w:sz w:val="21"/>
                <w:szCs w:val="21"/>
              </w:rPr>
              <w:t>客户满意度≥90分</w:t>
            </w:r>
          </w:p>
          <w:p>
            <w:pPr>
              <w:numPr>
                <w:ilvl w:val="0"/>
                <w:numId w:val="0"/>
              </w:numPr>
              <w:tabs>
                <w:tab w:val="left" w:pos="3731"/>
              </w:tabs>
              <w:adjustRightInd w:val="0"/>
              <w:snapToGrid w:val="0"/>
              <w:spacing w:line="312" w:lineRule="auto"/>
              <w:ind w:leftChars="0"/>
              <w:rPr>
                <w:rFonts w:hint="eastAsia" w:ascii="宋体" w:hAnsi="宋体"/>
                <w:color w:val="000000"/>
                <w:sz w:val="21"/>
                <w:szCs w:val="21"/>
              </w:rPr>
            </w:pPr>
            <w:r>
              <w:rPr>
                <w:rFonts w:hint="eastAsia" w:ascii="宋体" w:hAnsi="宋体"/>
                <w:color w:val="000000"/>
                <w:sz w:val="21"/>
                <w:szCs w:val="21"/>
              </w:rPr>
              <w:t>火灾事故发生率为0</w:t>
            </w:r>
          </w:p>
          <w:p>
            <w:pPr>
              <w:numPr>
                <w:ilvl w:val="0"/>
                <w:numId w:val="0"/>
              </w:numPr>
              <w:tabs>
                <w:tab w:val="left" w:pos="3731"/>
              </w:tabs>
              <w:adjustRightInd w:val="0"/>
              <w:snapToGrid w:val="0"/>
              <w:spacing w:line="312" w:lineRule="auto"/>
              <w:ind w:leftChars="0"/>
              <w:rPr>
                <w:rFonts w:hint="eastAsia" w:ascii="宋体" w:hAnsi="宋体"/>
                <w:color w:val="000000"/>
                <w:sz w:val="21"/>
                <w:szCs w:val="21"/>
              </w:rPr>
            </w:pPr>
            <w:r>
              <w:rPr>
                <w:rFonts w:hint="eastAsia" w:ascii="宋体" w:hAnsi="宋体"/>
                <w:color w:val="000000"/>
                <w:sz w:val="21"/>
                <w:szCs w:val="21"/>
              </w:rPr>
              <w:t>死亡事故发生率为0</w:t>
            </w:r>
          </w:p>
          <w:p>
            <w:pPr>
              <w:numPr>
                <w:ilvl w:val="0"/>
                <w:numId w:val="0"/>
              </w:numPr>
              <w:tabs>
                <w:tab w:val="left" w:pos="3731"/>
              </w:tabs>
              <w:adjustRightInd w:val="0"/>
              <w:snapToGrid w:val="0"/>
              <w:spacing w:line="312" w:lineRule="auto"/>
              <w:ind w:leftChars="0"/>
              <w:rPr>
                <w:rFonts w:ascii="宋体" w:hAnsi="宋体"/>
                <w:szCs w:val="21"/>
              </w:rPr>
            </w:pPr>
            <w:r>
              <w:rPr>
                <w:rFonts w:hint="eastAsia" w:asciiTheme="minorEastAsia" w:hAnsiTheme="minorEastAsia" w:eastAsiaTheme="minorEastAsia" w:cstheme="minorEastAsia"/>
                <w:szCs w:val="21"/>
              </w:rPr>
              <w:t>拟定有管理方案和预案。</w:t>
            </w:r>
          </w:p>
        </w:tc>
        <w:tc>
          <w:tcPr>
            <w:tcW w:w="1004"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5.1;6.2</w:t>
            </w:r>
          </w:p>
          <w:p>
            <w:pPr>
              <w:spacing w:line="440" w:lineRule="exact"/>
              <w:jc w:val="center"/>
              <w:rPr>
                <w:rFonts w:ascii="宋体" w:hAnsi="宋体"/>
                <w:szCs w:val="21"/>
              </w:rPr>
            </w:pPr>
          </w:p>
        </w:tc>
        <w:tc>
          <w:tcPr>
            <w:tcW w:w="807"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bl>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sz w:val="24"/>
                <w:szCs w:val="24"/>
                <w:lang w:val="en-US" w:eastAsia="zh-CN"/>
              </w:rPr>
              <w:t>余家龙</w:t>
            </w:r>
            <w:r>
              <w:rPr>
                <w:rFonts w:hint="eastAsia"/>
                <w:sz w:val="24"/>
                <w:szCs w:val="24"/>
                <w:lang w:eastAsia="zh-CN"/>
              </w:rPr>
              <w:t>、</w:t>
            </w:r>
            <w:r>
              <w:rPr>
                <w:rFonts w:hint="eastAsia"/>
                <w:sz w:val="24"/>
                <w:szCs w:val="24"/>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636" w:type="dxa"/>
            <w:vAlign w:val="top"/>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25日</w:t>
            </w:r>
          </w:p>
          <w:p>
            <w:pPr>
              <w:spacing w:line="400" w:lineRule="exact"/>
              <w:rPr>
                <w:szCs w:val="21"/>
              </w:rPr>
            </w:pPr>
            <w:r>
              <w:rPr>
                <w:rFonts w:hint="eastAsia" w:ascii="宋体" w:hAnsi="宋体"/>
                <w:szCs w:val="21"/>
              </w:rPr>
              <w:t>内审组：桂余映</w:t>
            </w:r>
            <w:r>
              <w:rPr>
                <w:rFonts w:hint="eastAsia" w:ascii="宋体" w:hAnsi="宋体"/>
                <w:sz w:val="21"/>
                <w:szCs w:val="21"/>
                <w:lang w:eastAsia="zh-CN"/>
              </w:rPr>
              <w:t>（组长）、胡长川（组员）</w:t>
            </w:r>
            <w:r>
              <w:rPr>
                <w:rFonts w:hint="eastAsia"/>
                <w:sz w:val="21"/>
                <w:szCs w:val="21"/>
              </w:rPr>
              <w:t>。</w:t>
            </w:r>
          </w:p>
          <w:p>
            <w:pPr>
              <w:spacing w:line="400" w:lineRule="exact"/>
              <w:rPr>
                <w:rFonts w:ascii="宋体" w:hAnsi="宋体"/>
                <w:szCs w:val="21"/>
              </w:rPr>
            </w:pPr>
            <w:r>
              <w:rPr>
                <w:rFonts w:hint="eastAsia" w:ascii="宋体" w:hAnsi="宋体"/>
                <w:szCs w:val="21"/>
              </w:rPr>
              <w:t>见有：《内审不符合项报告》</w:t>
            </w:r>
            <w:r>
              <w:rPr>
                <w:rFonts w:hint="eastAsia" w:ascii="宋体" w:hAnsi="宋体"/>
                <w:szCs w:val="21"/>
                <w:lang w:val="en-US" w:eastAsia="zh-CN"/>
              </w:rPr>
              <w:t>1</w:t>
            </w:r>
            <w:r>
              <w:rPr>
                <w:rFonts w:hint="eastAsia" w:ascii="宋体" w:hAnsi="宋体"/>
                <w:szCs w:val="21"/>
              </w:rPr>
              <w:t>份，涉及</w:t>
            </w:r>
            <w:r>
              <w:rPr>
                <w:rFonts w:hint="eastAsia" w:ascii="宋体" w:hAnsi="宋体"/>
                <w:szCs w:val="21"/>
                <w:lang w:val="en-US" w:eastAsia="zh-CN"/>
              </w:rPr>
              <w:t>综合部QS7.2查10月份培训考核表无效果评价</w:t>
            </w:r>
            <w:r>
              <w:rPr>
                <w:rFonts w:hint="eastAsia" w:ascii="宋体" w:hAnsi="宋体"/>
                <w:szCs w:val="21"/>
              </w:rPr>
              <w:t>。针对该不符合项，已及时采取纠正措施后，经内审员验证关闭。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982"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9.2</w:t>
            </w:r>
          </w:p>
          <w:p>
            <w:pPr>
              <w:spacing w:line="440" w:lineRule="exact"/>
              <w:jc w:val="center"/>
              <w:rPr>
                <w:rFonts w:ascii="宋体" w:hAnsi="宋体"/>
                <w:szCs w:val="21"/>
              </w:rPr>
            </w:pPr>
          </w:p>
        </w:tc>
        <w:tc>
          <w:tcPr>
            <w:tcW w:w="7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636" w:type="dxa"/>
            <w:vAlign w:val="to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日由总经</w:t>
            </w:r>
            <w:r>
              <w:rPr>
                <w:rFonts w:hint="eastAsia" w:ascii="宋体" w:hAnsi="宋体"/>
                <w:sz w:val="21"/>
                <w:szCs w:val="21"/>
              </w:rPr>
              <w:t>理李仕勇主持完成。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kern w:val="0"/>
                <w:sz w:val="21"/>
                <w:szCs w:val="21"/>
              </w:rPr>
            </w:pPr>
          </w:p>
          <w:p>
            <w:pPr>
              <w:spacing w:line="460" w:lineRule="exact"/>
              <w:ind w:firstLine="420" w:firstLineChars="200"/>
              <w:rPr>
                <w:rFonts w:hint="eastAsia" w:ascii="宋体" w:hAnsi="宋体"/>
                <w:kern w:val="0"/>
                <w:sz w:val="21"/>
                <w:szCs w:val="21"/>
              </w:rPr>
            </w:pPr>
          </w:p>
          <w:p>
            <w:pPr>
              <w:spacing w:line="460" w:lineRule="exact"/>
              <w:rPr>
                <w:rFonts w:ascii="宋体" w:hAnsi="宋体"/>
                <w:kern w:val="0"/>
                <w:szCs w:val="21"/>
                <w:u w:val="single"/>
              </w:rPr>
            </w:pPr>
            <w:r>
              <w:rPr>
                <w:rFonts w:hint="eastAsia" w:ascii="宋体" w:hAnsi="宋体"/>
                <w:kern w:val="0"/>
                <w:sz w:val="21"/>
                <w:szCs w:val="21"/>
              </w:rPr>
              <w:t>提出以下改进内容：人员对管理体系要求熟悉程度略显不足，需要进一步加强培训业务骨干，充实人力资源管理</w:t>
            </w:r>
            <w:r>
              <w:rPr>
                <w:rFonts w:hint="eastAsia" w:ascii="宋体" w:hAnsi="宋体"/>
                <w:sz w:val="21"/>
                <w:szCs w:val="21"/>
              </w:rPr>
              <w:t>。</w:t>
            </w:r>
          </w:p>
        </w:tc>
        <w:tc>
          <w:tcPr>
            <w:tcW w:w="982"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9.3</w:t>
            </w:r>
          </w:p>
          <w:p>
            <w:pPr>
              <w:spacing w:line="440" w:lineRule="exact"/>
              <w:jc w:val="center"/>
              <w:rPr>
                <w:rFonts w:ascii="宋体" w:hAnsi="宋体"/>
                <w:szCs w:val="21"/>
              </w:rPr>
            </w:pPr>
          </w:p>
        </w:tc>
        <w:tc>
          <w:tcPr>
            <w:tcW w:w="796"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r>
        <w:rPr>
          <w:rFonts w:hint="eastAsia"/>
        </w:rPr>
        <w:t>说明：不符合标注N</w:t>
      </w:r>
    </w:p>
    <w:p/>
    <w:tbl>
      <w:tblPr>
        <w:tblStyle w:val="7"/>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杨珍全、冉景洲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3687" w:type="dxa"/>
            <w:vAlign w:val="top"/>
          </w:tcPr>
          <w:p>
            <w:pPr>
              <w:spacing w:line="400" w:lineRule="exact"/>
              <w:rPr>
                <w:rFonts w:ascii="宋体" w:hAnsi="宋体"/>
                <w:b w:val="0"/>
                <w:bCs w:val="0"/>
                <w:szCs w:val="21"/>
                <w:highlight w:val="none"/>
              </w:rPr>
            </w:pPr>
            <w:r>
              <w:rPr>
                <w:rFonts w:hint="eastAsia" w:ascii="宋体" w:hAnsi="宋体"/>
                <w:b w:val="0"/>
                <w:bCs w:val="0"/>
                <w:szCs w:val="21"/>
                <w:highlight w:val="none"/>
              </w:rPr>
              <w:t>相关法规</w:t>
            </w:r>
          </w:p>
          <w:p>
            <w:pPr>
              <w:spacing w:line="400" w:lineRule="exact"/>
              <w:rPr>
                <w:rFonts w:ascii="宋体" w:hAnsi="宋体"/>
                <w:b w:val="0"/>
                <w:bCs w:val="0"/>
                <w:szCs w:val="21"/>
                <w:highlight w:val="none"/>
              </w:rPr>
            </w:pPr>
          </w:p>
          <w:p>
            <w:pPr>
              <w:spacing w:line="400" w:lineRule="exact"/>
              <w:rPr>
                <w:rFonts w:ascii="宋体" w:hAnsi="宋体"/>
                <w:b w:val="0"/>
                <w:bCs w:val="0"/>
                <w:szCs w:val="21"/>
                <w:highlight w:val="none"/>
              </w:rPr>
            </w:pPr>
          </w:p>
          <w:p>
            <w:pPr>
              <w:spacing w:line="400" w:lineRule="exact"/>
              <w:rPr>
                <w:rFonts w:ascii="宋体" w:hAnsi="宋体"/>
                <w:b w:val="0"/>
                <w:bCs w:val="0"/>
                <w:szCs w:val="21"/>
                <w:highlight w:val="none"/>
              </w:rPr>
            </w:pPr>
            <w:r>
              <w:rPr>
                <w:rFonts w:hint="eastAsia" w:ascii="宋体" w:hAnsi="宋体"/>
                <w:b w:val="0"/>
                <w:bCs w:val="0"/>
                <w:szCs w:val="21"/>
                <w:highlight w:val="none"/>
              </w:rPr>
              <w:t>环评报告及环评验收</w:t>
            </w:r>
          </w:p>
          <w:p>
            <w:pPr>
              <w:spacing w:line="400" w:lineRule="exact"/>
              <w:rPr>
                <w:b w:val="0"/>
                <w:bCs w:val="0"/>
                <w:szCs w:val="21"/>
                <w:highlight w:val="none"/>
              </w:rPr>
            </w:pPr>
            <w:r>
              <w:rPr>
                <w:rFonts w:hint="eastAsia"/>
                <w:b w:val="0"/>
                <w:bCs w:val="0"/>
                <w:szCs w:val="21"/>
                <w:highlight w:val="none"/>
              </w:rPr>
              <w:t>安评报告及安评验收</w:t>
            </w:r>
          </w:p>
          <w:p>
            <w:pPr>
              <w:spacing w:line="400" w:lineRule="exact"/>
              <w:rPr>
                <w:rFonts w:hint="eastAsia"/>
                <w:b w:val="0"/>
                <w:bCs w:val="0"/>
                <w:szCs w:val="21"/>
                <w:highlight w:val="none"/>
              </w:rPr>
            </w:pPr>
          </w:p>
          <w:p>
            <w:pPr>
              <w:spacing w:line="400" w:lineRule="exact"/>
              <w:rPr>
                <w:b w:val="0"/>
                <w:bCs w:val="0"/>
                <w:szCs w:val="21"/>
                <w:highlight w:val="none"/>
              </w:rPr>
            </w:pPr>
            <w:r>
              <w:rPr>
                <w:rFonts w:hint="eastAsia"/>
                <w:b w:val="0"/>
                <w:bCs w:val="0"/>
                <w:szCs w:val="21"/>
                <w:highlight w:val="none"/>
              </w:rPr>
              <w:t>执行的产品标准（QMS）</w:t>
            </w:r>
          </w:p>
          <w:p>
            <w:pPr>
              <w:spacing w:line="400" w:lineRule="exact"/>
              <w:rPr>
                <w:b w:val="0"/>
                <w:bCs w:val="0"/>
                <w:szCs w:val="21"/>
                <w:highlight w:val="none"/>
              </w:rPr>
            </w:pPr>
          </w:p>
          <w:p>
            <w:pPr>
              <w:pStyle w:val="3"/>
              <w:rPr>
                <w:b w:val="0"/>
                <w:bCs w:val="0"/>
                <w:szCs w:val="21"/>
                <w:highlight w:val="none"/>
              </w:rPr>
            </w:pP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执行的安全法规（OHSMS）</w:t>
            </w:r>
          </w:p>
          <w:p>
            <w:pPr>
              <w:spacing w:line="400" w:lineRule="exact"/>
              <w:rPr>
                <w:rFonts w:hint="eastAsia"/>
                <w:b w:val="0"/>
                <w:bCs w:val="0"/>
                <w:szCs w:val="21"/>
                <w:highlight w:val="none"/>
              </w:rPr>
            </w:pPr>
          </w:p>
          <w:p>
            <w:pPr>
              <w:spacing w:line="400" w:lineRule="exact"/>
              <w:rPr>
                <w:b w:val="0"/>
                <w:bCs w:val="0"/>
                <w:szCs w:val="21"/>
                <w:highlight w:val="none"/>
              </w:rPr>
            </w:pPr>
            <w:r>
              <w:rPr>
                <w:rFonts w:hint="eastAsia"/>
                <w:b w:val="0"/>
                <w:bCs w:val="0"/>
                <w:szCs w:val="21"/>
                <w:highlight w:val="none"/>
              </w:rPr>
              <w:t xml:space="preserve">合规性评价报告 </w:t>
            </w: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职业健康相关监测报告（OHSMS）</w:t>
            </w:r>
          </w:p>
          <w:p>
            <w:pPr>
              <w:spacing w:line="400" w:lineRule="exact"/>
              <w:rPr>
                <w:rFonts w:ascii="宋体" w:hAnsi="宋体" w:eastAsia="宋体" w:cs="Times New Roman"/>
                <w:b w:val="0"/>
                <w:bCs w:val="0"/>
                <w:kern w:val="2"/>
                <w:sz w:val="21"/>
                <w:szCs w:val="21"/>
                <w:highlight w:val="none"/>
                <w:lang w:val="en-US" w:eastAsia="zh-CN" w:bidi="ar-SA"/>
              </w:rPr>
            </w:pPr>
            <w:r>
              <w:rPr>
                <w:rFonts w:hint="eastAsia"/>
                <w:b w:val="0"/>
                <w:bCs w:val="0"/>
                <w:szCs w:val="21"/>
                <w:highlight w:val="none"/>
              </w:rPr>
              <w:t>产品质量监督抽查情况（QMS）</w:t>
            </w:r>
          </w:p>
        </w:tc>
        <w:tc>
          <w:tcPr>
            <w:tcW w:w="9636" w:type="dxa"/>
            <w:vAlign w:val="top"/>
          </w:tcPr>
          <w:p>
            <w:pPr>
              <w:spacing w:line="400" w:lineRule="exact"/>
              <w:rPr>
                <w:rFonts w:hint="eastAsia" w:ascii="宋体" w:hAnsi="宋体"/>
                <w:b w:val="0"/>
                <w:bCs w:val="0"/>
                <w:szCs w:val="21"/>
              </w:rPr>
            </w:pPr>
            <w:r>
              <w:rPr>
                <w:rFonts w:hint="eastAsia" w:ascii="宋体" w:hAnsi="宋体"/>
                <w:b w:val="0"/>
                <w:bCs w:val="0"/>
                <w:szCs w:val="21"/>
              </w:rPr>
              <w:t>中华人民共和国劳动法、</w:t>
            </w:r>
            <w:r>
              <w:rPr>
                <w:rFonts w:ascii="宋体" w:hAnsi="宋体" w:cs="Arial"/>
                <w:b w:val="0"/>
                <w:bCs w:val="0"/>
                <w:color w:val="000000"/>
                <w:szCs w:val="21"/>
                <w:shd w:val="clear" w:color="auto" w:fill="FFFFFF"/>
              </w:rPr>
              <w:t>中华人民共和国产品质量法</w:t>
            </w:r>
            <w:r>
              <w:rPr>
                <w:rFonts w:hint="eastAsia" w:ascii="宋体" w:hAnsi="宋体" w:cs="Arial"/>
                <w:b w:val="0"/>
                <w:bCs w:val="0"/>
                <w:color w:val="000000"/>
                <w:szCs w:val="21"/>
                <w:shd w:val="clear" w:color="auto" w:fill="FFFFFF"/>
              </w:rPr>
              <w:t>、中华人民共和国消费者权益保护法</w:t>
            </w:r>
            <w:r>
              <w:rPr>
                <w:rFonts w:hint="eastAsia" w:ascii="宋体" w:hAnsi="宋体" w:cs="Arial"/>
                <w:b w:val="0"/>
                <w:bCs w:val="0"/>
                <w:color w:val="000000"/>
                <w:szCs w:val="21"/>
                <w:shd w:val="clear" w:color="auto" w:fill="FFFFFF"/>
                <w:lang w:eastAsia="zh-CN"/>
              </w:rPr>
              <w:t>、</w:t>
            </w:r>
            <w:r>
              <w:rPr>
                <w:rFonts w:hint="eastAsia"/>
                <w:b w:val="0"/>
                <w:bCs w:val="0"/>
                <w:sz w:val="20"/>
                <w:lang w:eastAsia="zh-CN"/>
              </w:rPr>
              <w:t>中华人民共和国劳动合同法、中华人民共和国民法典</w:t>
            </w:r>
            <w:r>
              <w:rPr>
                <w:rFonts w:hint="eastAsia" w:ascii="宋体" w:hAnsi="宋体"/>
                <w:b w:val="0"/>
                <w:bCs w:val="0"/>
                <w:szCs w:val="21"/>
              </w:rPr>
              <w:t>等</w:t>
            </w:r>
          </w:p>
          <w:p>
            <w:pPr>
              <w:spacing w:line="400" w:lineRule="exact"/>
              <w:rPr>
                <w:rFonts w:hint="eastAsia" w:ascii="宋体" w:hAnsi="宋体"/>
                <w:b w:val="0"/>
                <w:bCs w:val="0"/>
                <w:szCs w:val="21"/>
                <w:highlight w:val="none"/>
              </w:rPr>
            </w:pPr>
          </w:p>
          <w:p>
            <w:pPr>
              <w:spacing w:line="400" w:lineRule="exact"/>
              <w:rPr>
                <w:rFonts w:ascii="宋体" w:hAnsi="宋体"/>
                <w:b w:val="0"/>
                <w:bCs w:val="0"/>
                <w:szCs w:val="21"/>
                <w:highlight w:val="none"/>
              </w:rPr>
            </w:pPr>
            <w:r>
              <w:rPr>
                <w:rFonts w:hint="eastAsia" w:ascii="宋体" w:hAnsi="宋体"/>
                <w:b w:val="0"/>
                <w:bCs w:val="0"/>
                <w:szCs w:val="21"/>
                <w:highlight w:val="none"/>
              </w:rPr>
              <w:t>不适用</w:t>
            </w:r>
          </w:p>
          <w:p>
            <w:pPr>
              <w:spacing w:line="400" w:lineRule="exact"/>
              <w:rPr>
                <w:rFonts w:ascii="宋体" w:hAnsi="宋体"/>
                <w:b w:val="0"/>
                <w:bCs w:val="0"/>
                <w:szCs w:val="21"/>
                <w:highlight w:val="none"/>
              </w:rPr>
            </w:pPr>
            <w:r>
              <w:rPr>
                <w:rFonts w:hint="eastAsia" w:ascii="宋体" w:hAnsi="宋体"/>
                <w:b w:val="0"/>
                <w:bCs w:val="0"/>
                <w:szCs w:val="21"/>
                <w:highlight w:val="none"/>
              </w:rPr>
              <w:t>不适用</w:t>
            </w:r>
          </w:p>
          <w:p>
            <w:pPr>
              <w:spacing w:line="400" w:lineRule="exact"/>
              <w:ind w:firstLine="420" w:firstLineChars="200"/>
              <w:rPr>
                <w:rFonts w:ascii="宋体" w:hAnsi="宋体"/>
                <w:b w:val="0"/>
                <w:bCs w:val="0"/>
                <w:szCs w:val="21"/>
              </w:rPr>
            </w:pPr>
          </w:p>
          <w:p>
            <w:pPr>
              <w:spacing w:line="400" w:lineRule="exact"/>
              <w:jc w:val="left"/>
              <w:rPr>
                <w:rFonts w:hint="default" w:ascii="宋体" w:hAnsi="宋体"/>
                <w:b w:val="0"/>
                <w:bCs w:val="0"/>
                <w:szCs w:val="21"/>
                <w:highlight w:val="none"/>
                <w:lang w:val="en-US"/>
              </w:rPr>
            </w:pPr>
            <w:r>
              <w:rPr>
                <w:rFonts w:hint="eastAsia" w:ascii="宋体" w:hAnsi="宋体" w:eastAsia="宋体" w:cs="宋体"/>
                <w:b w:val="0"/>
                <w:bCs w:val="0"/>
                <w:color w:val="000000"/>
                <w:kern w:val="2"/>
                <w:sz w:val="21"/>
                <w:szCs w:val="21"/>
                <w:highlight w:val="none"/>
                <w:lang w:val="en-US" w:eastAsia="zh-CN" w:bidi="ar-SA"/>
              </w:rPr>
              <w:t xml:space="preserve"> </w:t>
            </w:r>
            <w:r>
              <w:rPr>
                <w:rFonts w:hint="eastAsia"/>
                <w:color w:val="000000"/>
                <w:highlight w:val="none"/>
              </w:rPr>
              <w:t>油田注水用粘土稳定剂通用技术条件</w:t>
            </w:r>
            <w:r>
              <w:rPr>
                <w:rFonts w:hint="eastAsia" w:ascii="宋体" w:hAnsi="宋体" w:eastAsia="宋体" w:cs="宋体"/>
                <w:b w:val="0"/>
                <w:bCs w:val="0"/>
                <w:color w:val="000000"/>
                <w:kern w:val="2"/>
                <w:sz w:val="21"/>
                <w:szCs w:val="21"/>
                <w:highlight w:val="none"/>
                <w:lang w:val="en-US" w:eastAsia="zh-CN" w:bidi="ar-SA"/>
              </w:rPr>
              <w:t xml:space="preserve"> </w:t>
            </w:r>
            <w:r>
              <w:rPr>
                <w:rFonts w:hint="eastAsia"/>
                <w:highlight w:val="none"/>
              </w:rPr>
              <w:t>DB65/T 3483-2013</w:t>
            </w:r>
            <w:r>
              <w:rPr>
                <w:rFonts w:hint="eastAsia"/>
                <w:highlight w:val="none"/>
                <w:lang w:eastAsia="zh-CN"/>
              </w:rPr>
              <w:t>、</w:t>
            </w:r>
            <w:r>
              <w:rPr>
                <w:rFonts w:hint="eastAsia"/>
                <w:color w:val="000000"/>
                <w:highlight w:val="none"/>
              </w:rPr>
              <w:t>钻井液用硅稳定剂HFT-401</w:t>
            </w:r>
            <w:r>
              <w:rPr>
                <w:rFonts w:hint="eastAsia"/>
                <w:highlight w:val="none"/>
              </w:rPr>
              <w:t>Q/CNPC 62-2002</w:t>
            </w:r>
            <w:r>
              <w:rPr>
                <w:rFonts w:hint="eastAsia"/>
                <w:highlight w:val="none"/>
                <w:lang w:eastAsia="zh-CN"/>
              </w:rPr>
              <w:t>、</w:t>
            </w:r>
            <w:r>
              <w:rPr>
                <w:rFonts w:hint="eastAsia" w:ascii="宋体" w:hAnsi="宋体" w:eastAsia="宋体" w:cs="宋体"/>
                <w:b w:val="0"/>
                <w:bCs w:val="0"/>
                <w:color w:val="000000"/>
                <w:kern w:val="2"/>
                <w:sz w:val="21"/>
                <w:szCs w:val="21"/>
                <w:highlight w:val="none"/>
                <w:lang w:val="en-US" w:eastAsia="zh-CN" w:bidi="ar-SA"/>
              </w:rPr>
              <w:t xml:space="preserve">                </w:t>
            </w:r>
          </w:p>
          <w:p>
            <w:pPr>
              <w:rPr>
                <w:rFonts w:hint="eastAsia" w:ascii="宋体" w:hAnsi="宋体" w:eastAsia="宋体"/>
                <w:b w:val="0"/>
                <w:bCs w:val="0"/>
                <w:szCs w:val="21"/>
                <w:highlight w:val="none"/>
                <w:lang w:eastAsia="zh-CN"/>
              </w:rPr>
            </w:pPr>
            <w:r>
              <w:rPr>
                <w:rFonts w:hint="eastAsia"/>
                <w:color w:val="000000"/>
                <w:highlight w:val="none"/>
              </w:rPr>
              <w:t>油气田压裂酸化及注水用粘土稳定剂性能评价方法</w:t>
            </w:r>
            <w:r>
              <w:rPr>
                <w:rFonts w:hint="eastAsia"/>
                <w:highlight w:val="none"/>
              </w:rPr>
              <w:t>SY/T 5971-2016</w:t>
            </w:r>
            <w:r>
              <w:rPr>
                <w:rFonts w:hint="eastAsia"/>
                <w:highlight w:val="none"/>
                <w:lang w:val="en-US" w:eastAsia="zh-CN"/>
              </w:rPr>
              <w:t>等</w:t>
            </w:r>
            <w:r>
              <w:rPr>
                <w:rFonts w:hint="eastAsia"/>
                <w:highlight w:val="none"/>
                <w:lang w:eastAsia="zh-CN"/>
              </w:rPr>
              <w:t>。</w:t>
            </w:r>
          </w:p>
          <w:p>
            <w:pPr>
              <w:rPr>
                <w:rFonts w:hint="eastAsia" w:ascii="宋体" w:hAnsi="宋体"/>
                <w:b w:val="0"/>
                <w:bCs w:val="0"/>
                <w:szCs w:val="21"/>
                <w:highlight w:val="none"/>
              </w:rPr>
            </w:pPr>
          </w:p>
          <w:p>
            <w:pPr>
              <w:rPr>
                <w:rFonts w:ascii="宋体" w:hAnsi="宋体"/>
                <w:b w:val="0"/>
                <w:bCs w:val="0"/>
                <w:szCs w:val="21"/>
                <w:highlight w:val="none"/>
              </w:rPr>
            </w:pPr>
          </w:p>
          <w:p>
            <w:pPr>
              <w:pStyle w:val="2"/>
            </w:pPr>
          </w:p>
          <w:p>
            <w:pPr>
              <w:spacing w:line="400" w:lineRule="exact"/>
              <w:rPr>
                <w:b w:val="0"/>
                <w:bCs w:val="0"/>
                <w:szCs w:val="21"/>
                <w:highlight w:val="none"/>
              </w:rPr>
            </w:pPr>
            <w:r>
              <w:rPr>
                <w:rFonts w:hint="eastAsia" w:ascii="宋体" w:hAnsi="宋体"/>
                <w:b w:val="0"/>
                <w:bCs w:val="0"/>
                <w:szCs w:val="21"/>
                <w:highlight w:val="none"/>
              </w:rPr>
              <w:t>中华人民共和国安全消防法、</w:t>
            </w:r>
            <w:r>
              <w:rPr>
                <w:rFonts w:hint="eastAsia" w:ascii="宋体" w:hAnsi="宋体"/>
                <w:b w:val="0"/>
                <w:bCs w:val="0"/>
                <w:color w:val="000000"/>
                <w:szCs w:val="21"/>
                <w:highlight w:val="none"/>
              </w:rPr>
              <w:t>中华人民共和国劳动合同法、</w:t>
            </w:r>
            <w:r>
              <w:rPr>
                <w:rFonts w:hint="eastAsia" w:ascii="宋体" w:hAnsi="宋体" w:cs="宋体"/>
                <w:b w:val="0"/>
                <w:bCs w:val="0"/>
                <w:color w:val="000000"/>
                <w:szCs w:val="21"/>
                <w:highlight w:val="none"/>
              </w:rPr>
              <w:t>中华人民共和国安全生产法等</w:t>
            </w: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20</w:t>
            </w:r>
            <w:r>
              <w:rPr>
                <w:rFonts w:hint="eastAsia"/>
                <w:b w:val="0"/>
                <w:bCs w:val="0"/>
                <w:szCs w:val="21"/>
                <w:highlight w:val="none"/>
                <w:lang w:val="en-US" w:eastAsia="zh-CN"/>
              </w:rPr>
              <w:t>20</w:t>
            </w:r>
            <w:r>
              <w:rPr>
                <w:rFonts w:hint="eastAsia"/>
                <w:b w:val="0"/>
                <w:bCs w:val="0"/>
                <w:szCs w:val="21"/>
                <w:highlight w:val="none"/>
              </w:rPr>
              <w:t>年</w:t>
            </w:r>
            <w:r>
              <w:rPr>
                <w:rFonts w:hint="eastAsia"/>
                <w:b w:val="0"/>
                <w:bCs w:val="0"/>
                <w:szCs w:val="21"/>
                <w:highlight w:val="none"/>
                <w:lang w:val="en-US" w:eastAsia="zh-CN"/>
              </w:rPr>
              <w:t>12</w:t>
            </w:r>
            <w:r>
              <w:rPr>
                <w:rFonts w:hint="eastAsia"/>
                <w:b w:val="0"/>
                <w:bCs w:val="0"/>
                <w:szCs w:val="21"/>
                <w:highlight w:val="none"/>
              </w:rPr>
              <w:t>月</w:t>
            </w:r>
            <w:r>
              <w:rPr>
                <w:rFonts w:hint="eastAsia"/>
                <w:b w:val="0"/>
                <w:bCs w:val="0"/>
                <w:szCs w:val="21"/>
                <w:highlight w:val="none"/>
                <w:lang w:val="en-US" w:eastAsia="zh-CN"/>
              </w:rPr>
              <w:t>18</w:t>
            </w:r>
            <w:r>
              <w:rPr>
                <w:rFonts w:hint="eastAsia"/>
                <w:b w:val="0"/>
                <w:bCs w:val="0"/>
                <w:szCs w:val="21"/>
                <w:highlight w:val="none"/>
              </w:rPr>
              <w:t>日进行了合规性评价</w:t>
            </w:r>
          </w:p>
          <w:p>
            <w:pPr>
              <w:spacing w:line="400" w:lineRule="exact"/>
              <w:rPr>
                <w:b w:val="0"/>
                <w:bCs w:val="0"/>
                <w:szCs w:val="21"/>
                <w:highlight w:val="none"/>
              </w:rPr>
            </w:pPr>
          </w:p>
          <w:p>
            <w:pPr>
              <w:spacing w:line="400" w:lineRule="exact"/>
              <w:rPr>
                <w:rFonts w:hint="eastAsia"/>
                <w:b w:val="0"/>
                <w:bCs w:val="0"/>
                <w:szCs w:val="21"/>
                <w:highlight w:val="none"/>
                <w:lang w:val="en-US" w:eastAsia="zh-CN"/>
              </w:rPr>
            </w:pPr>
            <w:r>
              <w:rPr>
                <w:rFonts w:hint="eastAsia"/>
                <w:b w:val="0"/>
                <w:bCs w:val="0"/>
                <w:szCs w:val="21"/>
                <w:highlight w:val="none"/>
                <w:lang w:val="en-US" w:eastAsia="zh-CN"/>
              </w:rPr>
              <w:t>有员工体检</w:t>
            </w:r>
          </w:p>
          <w:p>
            <w:pPr>
              <w:spacing w:line="400" w:lineRule="exact"/>
              <w:rPr>
                <w:rFonts w:ascii="宋体" w:hAnsi="宋体" w:eastAsia="宋体" w:cs="Times New Roman"/>
                <w:b w:val="0"/>
                <w:bCs w:val="0"/>
                <w:kern w:val="2"/>
                <w:sz w:val="21"/>
                <w:szCs w:val="21"/>
                <w:highlight w:val="none"/>
                <w:lang w:val="en-US" w:eastAsia="zh-CN" w:bidi="ar-SA"/>
              </w:rPr>
            </w:pPr>
            <w:r>
              <w:rPr>
                <w:rFonts w:hint="eastAsia"/>
                <w:b w:val="0"/>
                <w:bCs w:val="0"/>
                <w:szCs w:val="21"/>
                <w:highlight w:val="none"/>
              </w:rPr>
              <w:t>质量监督抽查。</w:t>
            </w:r>
          </w:p>
        </w:tc>
        <w:tc>
          <w:tcPr>
            <w:tcW w:w="982" w:type="dxa"/>
            <w:vAlign w:val="top"/>
          </w:tcPr>
          <w:p>
            <w:pPr>
              <w:adjustRightInd w:val="0"/>
              <w:snapToGrid w:val="0"/>
              <w:rPr>
                <w:rFonts w:ascii="宋体" w:hAnsi="宋体" w:cs="宋体"/>
                <w:szCs w:val="21"/>
              </w:rPr>
            </w:pPr>
            <w:r>
              <w:rPr>
                <w:rFonts w:hint="eastAsia" w:ascii="宋体" w:hAnsi="宋体"/>
                <w:szCs w:val="21"/>
              </w:rPr>
              <w:t>Q/S:6.1.3、9.1.2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eastAsia="宋体" w:cs="Times New Roman"/>
                <w:kern w:val="2"/>
                <w:sz w:val="21"/>
                <w:szCs w:val="21"/>
                <w:lang w:val="en-US" w:eastAsia="zh-CN" w:bidi="ar-SA"/>
              </w:rPr>
            </w:pPr>
          </w:p>
        </w:tc>
        <w:tc>
          <w:tcPr>
            <w:tcW w:w="796" w:type="dxa"/>
            <w:vAlign w:val="top"/>
          </w:tcPr>
          <w:p>
            <w:pPr>
              <w:spacing w:line="400" w:lineRule="exact"/>
            </w:pPr>
            <w:r>
              <w:rPr>
                <w:rFonts w:hint="eastAsia"/>
              </w:rPr>
              <w:t>符合</w:t>
            </w: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rPr>
                <w:lang w:val="en-US" w:eastAsia="zh-CN"/>
              </w:rPr>
            </w:pPr>
          </w:p>
          <w:p>
            <w:pPr>
              <w:pStyle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工艺流程</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szCs w:val="21"/>
              </w:rPr>
            </w:pPr>
            <w:r>
              <w:rPr>
                <w:rFonts w:hint="eastAsia"/>
                <w:szCs w:val="21"/>
              </w:rPr>
              <w:t>不可接受风险（OHSMS）</w:t>
            </w:r>
          </w:p>
          <w:p>
            <w:pPr>
              <w:spacing w:line="400" w:lineRule="exact"/>
              <w:rPr>
                <w:rFonts w:hint="eastAsia" w:ascii="Times New Roman" w:hAnsi="Times New Roman" w:eastAsia="宋体" w:cs="Times New Roman"/>
                <w:kern w:val="2"/>
                <w:sz w:val="21"/>
                <w:szCs w:val="21"/>
                <w:lang w:val="en-US" w:eastAsia="zh-CN" w:bidi="ar-SA"/>
              </w:rPr>
            </w:pPr>
            <w:r>
              <w:rPr>
                <w:rFonts w:hint="eastAsia"/>
                <w:szCs w:val="21"/>
              </w:rPr>
              <w:t>应急管理</w:t>
            </w:r>
          </w:p>
        </w:tc>
        <w:tc>
          <w:tcPr>
            <w:tcW w:w="9636" w:type="dxa"/>
            <w:vAlign w:val="top"/>
          </w:tcPr>
          <w:p>
            <w:pPr>
              <w:tabs>
                <w:tab w:val="left" w:pos="1080"/>
              </w:tabs>
              <w:spacing w:line="400" w:lineRule="exact"/>
              <w:rPr>
                <w:rFonts w:hint="eastAsia" w:ascii="宋体" w:hAnsi="宋体"/>
                <w:szCs w:val="21"/>
                <w:lang w:eastAsia="zh-CN"/>
              </w:rPr>
            </w:pPr>
            <w:r>
              <w:rPr>
                <w:rFonts w:hint="eastAsia" w:ascii="宋体" w:hAnsi="宋体"/>
                <w:szCs w:val="21"/>
                <w:lang w:eastAsia="zh-CN"/>
              </w:rPr>
              <w:t>油田助剂的加工流程：进料→搅拌→加热→降温→放料→检测→包装入库</w:t>
            </w:r>
          </w:p>
          <w:p>
            <w:pPr>
              <w:tabs>
                <w:tab w:val="left" w:pos="1080"/>
              </w:tabs>
              <w:spacing w:line="400" w:lineRule="exact"/>
              <w:rPr>
                <w:rFonts w:ascii="宋体" w:hAnsi="宋体"/>
                <w:szCs w:val="21"/>
              </w:rPr>
            </w:pPr>
            <w:r>
              <w:rPr>
                <w:rFonts w:hint="eastAsia" w:ascii="宋体" w:hAnsi="宋体"/>
                <w:szCs w:val="21"/>
                <w:lang w:eastAsia="zh-CN"/>
              </w:rPr>
              <w:t>销售流程：业务洽谈→签订合同→采购→物资检验→交付。</w:t>
            </w:r>
          </w:p>
          <w:p>
            <w:pPr>
              <w:tabs>
                <w:tab w:val="left" w:pos="1080"/>
              </w:tabs>
              <w:spacing w:line="400" w:lineRule="exact"/>
              <w:rPr>
                <w:rFonts w:hint="default" w:ascii="宋体" w:hAnsi="宋体" w:eastAsia="宋体"/>
                <w:szCs w:val="21"/>
                <w:lang w:val="en-US" w:eastAsia="zh-CN"/>
              </w:rPr>
            </w:pPr>
            <w:r>
              <w:rPr>
                <w:rFonts w:hint="eastAsia" w:ascii="宋体" w:hAnsi="宋体" w:eastAsia="宋体"/>
                <w:szCs w:val="21"/>
                <w:lang w:val="en-US" w:eastAsia="zh-CN"/>
              </w:rPr>
              <w:t>Q8.3</w:t>
            </w:r>
            <w:r>
              <w:rPr>
                <w:rFonts w:hint="eastAsia" w:ascii="宋体" w:hAnsi="宋体"/>
                <w:szCs w:val="21"/>
                <w:lang w:val="en-US" w:eastAsia="zh-CN"/>
              </w:rPr>
              <w:t>，</w:t>
            </w:r>
            <w:r>
              <w:rPr>
                <w:rFonts w:hint="eastAsia" w:ascii="宋体" w:hAnsi="宋体" w:cs="宋体"/>
                <w:bCs/>
                <w:sz w:val="21"/>
                <w:szCs w:val="21"/>
              </w:rPr>
              <w:t>本公司生产服务流程和模式已经成熟，没有开发新的管理模式和流程，公司主要依据客户的要求，实施物料的采购、生产和销售，以往的管理方式及所提供的服务已经得到客户认可。服务过程较简单，未涉及设计开发过程。</w:t>
            </w:r>
          </w:p>
          <w:p>
            <w:pPr>
              <w:tabs>
                <w:tab w:val="left" w:pos="1080"/>
              </w:tabs>
              <w:spacing w:line="400" w:lineRule="exact"/>
              <w:rPr>
                <w:rFonts w:hint="eastAsia" w:ascii="宋体" w:hAnsi="宋体"/>
                <w:szCs w:val="21"/>
                <w:highlight w:val="none"/>
                <w:lang w:val="en-US" w:eastAsia="zh-CN"/>
              </w:rPr>
            </w:pPr>
          </w:p>
          <w:p>
            <w:pPr>
              <w:tabs>
                <w:tab w:val="left" w:pos="1080"/>
              </w:tabs>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无</w:t>
            </w:r>
          </w:p>
          <w:p>
            <w:pPr>
              <w:tabs>
                <w:tab w:val="left" w:pos="1080"/>
              </w:tabs>
              <w:spacing w:line="400" w:lineRule="exact"/>
              <w:rPr>
                <w:rFonts w:hint="default" w:ascii="宋体" w:hAnsi="宋体" w:eastAsiaTheme="minorEastAsia"/>
                <w:color w:val="FF0000"/>
                <w:szCs w:val="21"/>
                <w:highlight w:val="none"/>
                <w:lang w:val="en-US" w:eastAsia="zh-CN"/>
              </w:rPr>
            </w:pPr>
            <w:bookmarkStart w:id="0" w:name="_GoBack"/>
            <w:r>
              <w:rPr>
                <w:rFonts w:hint="eastAsia" w:asciiTheme="minorEastAsia" w:hAnsiTheme="minorEastAsia" w:eastAsiaTheme="minorEastAsia" w:cstheme="minorEastAsia"/>
                <w:b w:val="0"/>
                <w:bCs w:val="0"/>
                <w:sz w:val="21"/>
                <w:szCs w:val="21"/>
                <w:highlight w:val="none"/>
              </w:rPr>
              <w:t>火灾</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意外伤害（化学品泄露、货物砸伤等）、职业病。</w:t>
            </w:r>
          </w:p>
          <w:bookmarkEnd w:id="0"/>
          <w:p>
            <w:pPr>
              <w:tabs>
                <w:tab w:val="left" w:pos="1080"/>
              </w:tabs>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公司拟定有《火灾应急预案》，</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1月3日进行了消防应急</w:t>
            </w:r>
            <w:r>
              <w:rPr>
                <w:rFonts w:hint="eastAsia" w:ascii="宋体" w:hAnsi="宋体"/>
                <w:szCs w:val="21"/>
                <w:highlight w:val="none"/>
              </w:rPr>
              <w:t>演习。</w:t>
            </w:r>
          </w:p>
        </w:tc>
        <w:tc>
          <w:tcPr>
            <w:tcW w:w="982" w:type="dxa"/>
            <w:vAlign w:val="top"/>
          </w:tcPr>
          <w:p>
            <w:pPr>
              <w:adjustRightInd w:val="0"/>
              <w:snapToGrid w:val="0"/>
              <w:rPr>
                <w:rFonts w:ascii="宋体" w:hAnsi="宋体"/>
                <w:szCs w:val="21"/>
              </w:rPr>
            </w:pPr>
            <w:r>
              <w:rPr>
                <w:rFonts w:hint="eastAsia" w:ascii="宋体" w:hAnsi="宋体"/>
                <w:szCs w:val="21"/>
              </w:rPr>
              <w:t>Q/S:8.1、8.2;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eastAsia="宋体" w:cs="Times New Roman"/>
                <w:kern w:val="2"/>
                <w:sz w:val="21"/>
                <w:szCs w:val="21"/>
                <w:lang w:val="en-US" w:eastAsia="zh-CN" w:bidi="ar-SA"/>
              </w:rPr>
            </w:pPr>
            <w:r>
              <w:rPr>
                <w:rFonts w:hint="eastAsia" w:ascii="宋体" w:hAnsi="宋体"/>
                <w:szCs w:val="21"/>
              </w:rPr>
              <w:t>Q8.3</w:t>
            </w:r>
          </w:p>
        </w:tc>
        <w:tc>
          <w:tcPr>
            <w:tcW w:w="796" w:type="dxa"/>
            <w:vAlign w:val="top"/>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636" w:type="dxa"/>
          </w:tcPr>
          <w:p>
            <w:pPr>
              <w:spacing w:line="400" w:lineRule="exact"/>
              <w:rPr>
                <w:rFonts w:hint="eastAsia" w:eastAsia="宋体"/>
                <w:lang w:val="en-US" w:eastAsia="zh-CN"/>
              </w:rPr>
            </w:pPr>
            <w:r>
              <w:rPr>
                <w:rFonts w:hint="eastAsia"/>
                <w:lang w:val="en-US" w:eastAsia="zh-CN"/>
              </w:rPr>
              <w:t>无</w:t>
            </w:r>
          </w:p>
          <w:p>
            <w:pPr>
              <w:pStyle w:val="2"/>
            </w:pPr>
            <w:r>
              <w:rPr>
                <w:rFonts w:hint="eastAsia" w:ascii="宋体" w:hAnsi="宋体" w:eastAsia="宋体" w:cs="Times New Roman"/>
                <w:color w:val="auto"/>
                <w:kern w:val="2"/>
                <w:sz w:val="21"/>
                <w:szCs w:val="21"/>
                <w:lang w:val="en-US" w:eastAsia="zh-CN" w:bidi="ar-SA"/>
              </w:rPr>
              <w:t>石油级黄原胶、葡萄粮酸钠、乳化剂、氢氧化钠、消泡剂、巯基丙酸、表面活性剂等</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Q8.3</w:t>
            </w:r>
          </w:p>
        </w:tc>
        <w:tc>
          <w:tcPr>
            <w:tcW w:w="796" w:type="dxa"/>
            <w:vAlign w:val="top"/>
          </w:tcPr>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636" w:type="dxa"/>
          </w:tcPr>
          <w:p>
            <w:pPr>
              <w:spacing w:line="400" w:lineRule="exact"/>
              <w:rPr>
                <w:rFonts w:ascii="宋体" w:hAnsi="宋体"/>
                <w:szCs w:val="21"/>
              </w:rPr>
            </w:pPr>
            <w:r>
              <w:rPr>
                <w:rFonts w:hint="eastAsia" w:ascii="宋体" w:hAnsi="宋体"/>
                <w:szCs w:val="21"/>
                <w:lang w:val="en-US" w:eastAsia="zh-CN"/>
              </w:rPr>
              <w:t>15</w:t>
            </w:r>
            <w:r>
              <w:rPr>
                <w:rFonts w:hint="eastAsia" w:ascii="宋体" w:hAnsi="宋体"/>
                <w:szCs w:val="21"/>
              </w:rPr>
              <w:t>人</w:t>
            </w:r>
          </w:p>
          <w:p>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司炉工，检验员</w:t>
            </w:r>
            <w:r>
              <w:rPr>
                <w:rFonts w:hint="eastAsia" w:ascii="宋体" w:hAnsi="宋体" w:eastAsia="宋体"/>
                <w:szCs w:val="21"/>
                <w:highlight w:val="none"/>
                <w:lang w:val="en-US" w:eastAsia="zh-CN"/>
              </w:rPr>
              <w:t xml:space="preserve">      </w:t>
            </w:r>
          </w:p>
          <w:p>
            <w:pPr>
              <w:spacing w:line="400" w:lineRule="exact"/>
              <w:rPr>
                <w:rFonts w:hint="default" w:ascii="宋体" w:hAnsi="宋体" w:eastAsia="宋体"/>
                <w:szCs w:val="21"/>
                <w:lang w:val="en-US" w:eastAsia="zh-CN"/>
              </w:rPr>
            </w:pPr>
            <w:r>
              <w:rPr>
                <w:rFonts w:hint="eastAsia" w:ascii="宋体" w:hAnsi="宋体"/>
                <w:szCs w:val="21"/>
                <w:highlight w:val="none"/>
                <w:lang w:val="en-US" w:eastAsia="zh-CN"/>
              </w:rPr>
              <w:t>司炉工</w:t>
            </w:r>
            <w:r>
              <w:rPr>
                <w:rFonts w:hint="eastAsia" w:ascii="宋体" w:hAnsi="宋体" w:eastAsia="宋体"/>
                <w:szCs w:val="21"/>
                <w:highlight w:val="none"/>
                <w:lang w:val="en-US" w:eastAsia="zh-CN"/>
              </w:rPr>
              <w:t xml:space="preserve">      </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Q/S:7.2</w:t>
            </w:r>
          </w:p>
        </w:tc>
        <w:tc>
          <w:tcPr>
            <w:tcW w:w="796"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687" w:type="dxa"/>
          </w:tcPr>
          <w:p>
            <w:pPr>
              <w:keepNext w:val="0"/>
              <w:keepLines w:val="0"/>
              <w:pageBreakBefore w:val="0"/>
              <w:widowControl w:val="0"/>
              <w:kinsoku/>
              <w:wordWrap/>
              <w:overflowPunct/>
              <w:topLinePunct w:val="0"/>
              <w:bidi w:val="0"/>
              <w:snapToGrid/>
              <w:spacing w:line="360" w:lineRule="auto"/>
              <w:textAlignment w:val="auto"/>
              <w:rPr>
                <w:rFonts w:hint="eastAsia"/>
              </w:rPr>
            </w:pPr>
            <w:r>
              <w:rPr>
                <w:rFonts w:hint="eastAsia" w:ascii="宋体" w:hAnsi="宋体"/>
                <w:szCs w:val="21"/>
              </w:rPr>
              <w:t>主要生产设备</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库房</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特种设备</w:t>
            </w:r>
          </w:p>
          <w:p>
            <w:pPr>
              <w:keepNext w:val="0"/>
              <w:keepLines w:val="0"/>
              <w:pageBreakBefore w:val="0"/>
              <w:widowControl w:val="0"/>
              <w:kinsoku/>
              <w:wordWrap/>
              <w:overflowPunct/>
              <w:topLinePunct w:val="0"/>
              <w:bidi w:val="0"/>
              <w:snapToGrid/>
              <w:spacing w:line="360" w:lineRule="auto"/>
              <w:textAlignment w:val="auto"/>
              <w:rPr>
                <w:szCs w:val="21"/>
              </w:rPr>
            </w:pPr>
            <w:r>
              <w:rPr>
                <w:rFonts w:hint="eastAsia"/>
                <w:szCs w:val="21"/>
              </w:rPr>
              <w:t>安全设施（OHSMS）</w:t>
            </w:r>
          </w:p>
          <w:p>
            <w:pPr>
              <w:keepNext w:val="0"/>
              <w:keepLines w:val="0"/>
              <w:pageBreakBefore w:val="0"/>
              <w:widowControl w:val="0"/>
              <w:kinsoku/>
              <w:wordWrap/>
              <w:overflowPunct/>
              <w:topLinePunct w:val="0"/>
              <w:bidi w:val="0"/>
              <w:snapToGrid/>
              <w:spacing w:line="360" w:lineRule="auto"/>
              <w:textAlignment w:val="auto"/>
              <w:rPr>
                <w:szCs w:val="21"/>
              </w:rPr>
            </w:pPr>
            <w:r>
              <w:rPr>
                <w:rFonts w:hint="eastAsia"/>
                <w:szCs w:val="21"/>
              </w:rPr>
              <w:t>主要检测设备及设备的检定/校准（QMS）</w:t>
            </w:r>
          </w:p>
          <w:p>
            <w:pPr>
              <w:keepNext w:val="0"/>
              <w:keepLines w:val="0"/>
              <w:pageBreakBefore w:val="0"/>
              <w:widowControl w:val="0"/>
              <w:kinsoku/>
              <w:wordWrap/>
              <w:overflowPunct/>
              <w:topLinePunct w:val="0"/>
              <w:bidi w:val="0"/>
              <w:snapToGrid/>
              <w:spacing w:line="360" w:lineRule="auto"/>
              <w:textAlignment w:val="auto"/>
              <w:rPr>
                <w:szCs w:val="21"/>
              </w:rPr>
            </w:pPr>
            <w:r>
              <w:rPr>
                <w:rFonts w:hint="eastAsia"/>
                <w:szCs w:val="21"/>
              </w:rPr>
              <w:t>安全监测设备（OHSMS）</w:t>
            </w:r>
          </w:p>
        </w:tc>
        <w:tc>
          <w:tcPr>
            <w:tcW w:w="963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lang w:val="en-US" w:eastAsia="zh-CN"/>
              </w:rPr>
              <w:t>电脑、打印机、搪瓷反应釜、立式水火管燃气锅炉、抽料泵、钢丝软管、手动叉车、1T升降机</w:t>
            </w:r>
            <w:r>
              <w:rPr>
                <w:rFonts w:hint="eastAsia" w:ascii="宋体" w:hAnsi="宋体"/>
                <w:szCs w:val="21"/>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300平方米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锅炉1台（燃料：天燃气）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highlight w:val="none"/>
              </w:rPr>
            </w:pPr>
            <w:r>
              <w:rPr>
                <w:rFonts w:hint="eastAsia"/>
                <w:szCs w:val="21"/>
                <w:highlight w:val="none"/>
              </w:rPr>
              <w:t>配电箱、空开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增压稠化仪、密度计、增压养护釜、称重显示控制器、氮气表、压力表、电子台秤、数显温度计</w:t>
            </w:r>
            <w:r>
              <w:rPr>
                <w:rFonts w:hint="eastAsia" w:ascii="宋体" w:hAnsi="宋体"/>
                <w:szCs w:val="21"/>
                <w:highlight w:val="none"/>
                <w:lang w:val="en-US" w:eastAsia="zh-CN"/>
              </w:rPr>
              <w:t>等，未能提供在用数显温度计有效的校准或检定证书。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无</w:t>
            </w:r>
          </w:p>
        </w:tc>
        <w:tc>
          <w:tcPr>
            <w:tcW w:w="982" w:type="dxa"/>
            <w:vAlign w:val="top"/>
          </w:tcPr>
          <w:p>
            <w:pPr>
              <w:spacing w:line="440" w:lineRule="exact"/>
              <w:jc w:val="left"/>
            </w:pPr>
            <w:r>
              <w:rPr>
                <w:rFonts w:hint="eastAsia"/>
              </w:rPr>
              <w:t>Q/S:7.1</w:t>
            </w:r>
          </w:p>
          <w:p>
            <w:pPr>
              <w:spacing w:line="440" w:lineRule="exact"/>
              <w:jc w:val="both"/>
            </w:pPr>
            <w:r>
              <w:rPr>
                <w:rFonts w:hint="eastAsia"/>
              </w:rPr>
              <w:t>Q7.1.3</w:t>
            </w:r>
          </w:p>
          <w:p>
            <w:pPr>
              <w:spacing w:line="440" w:lineRule="exact"/>
              <w:rPr>
                <w:lang w:val="en-US" w:eastAsia="zh-CN"/>
              </w:rPr>
            </w:pPr>
          </w:p>
          <w:p>
            <w:pPr>
              <w:pStyle w:val="2"/>
              <w:rPr>
                <w:rFonts w:ascii="宋体" w:hAnsi="宋体" w:eastAsia="宋体" w:cs="Times New Roman"/>
                <w:kern w:val="2"/>
                <w:sz w:val="21"/>
                <w:szCs w:val="21"/>
                <w:lang w:val="en-US" w:eastAsia="zh-CN" w:bidi="ar-SA"/>
              </w:rPr>
            </w:pPr>
          </w:p>
          <w:p>
            <w:pPr>
              <w:pStyle w:val="2"/>
              <w:rPr>
                <w:rFonts w:ascii="宋体" w:hAnsi="宋体" w:eastAsia="宋体" w:cs="Times New Roman"/>
                <w:kern w:val="2"/>
                <w:sz w:val="21"/>
                <w:szCs w:val="21"/>
                <w:lang w:val="en-US" w:eastAsia="zh-CN" w:bidi="ar-SA"/>
              </w:rPr>
            </w:pPr>
          </w:p>
          <w:p>
            <w:pPr>
              <w:spacing w:line="440" w:lineRule="exact"/>
              <w:jc w:val="both"/>
              <w:rPr>
                <w:rFonts w:hint="eastAsia" w:eastAsia="宋体"/>
                <w:lang w:eastAsia="zh-CN"/>
              </w:rPr>
            </w:pPr>
            <w:r>
              <w:rPr>
                <w:rFonts w:hint="eastAsia"/>
              </w:rPr>
              <w:t>Q7.1.</w:t>
            </w:r>
            <w:r>
              <w:rPr>
                <w:rFonts w:hint="eastAsia"/>
                <w:lang w:val="en-US" w:eastAsia="zh-CN"/>
              </w:rPr>
              <w:t>5</w:t>
            </w:r>
          </w:p>
          <w:p>
            <w:pPr>
              <w:pStyle w:val="2"/>
              <w:rPr>
                <w:rFonts w:ascii="宋体" w:hAnsi="宋体" w:eastAsia="宋体" w:cs="Times New Roman"/>
                <w:kern w:val="2"/>
                <w:sz w:val="21"/>
                <w:szCs w:val="21"/>
                <w:lang w:val="en-US" w:eastAsia="zh-CN" w:bidi="ar-SA"/>
              </w:rPr>
            </w:pPr>
          </w:p>
        </w:tc>
        <w:tc>
          <w:tcPr>
            <w:tcW w:w="796" w:type="dxa"/>
            <w:vAlign w:val="top"/>
          </w:tcPr>
          <w:p>
            <w:pPr>
              <w:spacing w:line="440" w:lineRule="exact"/>
              <w:jc w:val="center"/>
            </w:pPr>
            <w:r>
              <w:rPr>
                <w:rFonts w:hint="eastAsia"/>
              </w:rPr>
              <w:t>符合</w:t>
            </w:r>
          </w:p>
          <w:p>
            <w:pPr>
              <w:spacing w:line="440" w:lineRule="exact"/>
              <w:jc w:val="center"/>
            </w:pPr>
          </w:p>
          <w:p>
            <w:pPr>
              <w:spacing w:line="440" w:lineRule="exact"/>
              <w:jc w:val="center"/>
            </w:pPr>
          </w:p>
          <w:p>
            <w:pPr>
              <w:spacing w:line="440" w:lineRule="exact"/>
              <w:rPr>
                <w:lang w:val="en-US" w:eastAsia="zh-CN"/>
              </w:rPr>
            </w:pPr>
          </w:p>
          <w:p>
            <w:pPr>
              <w:pStyle w:val="2"/>
              <w:rPr>
                <w:rFonts w:ascii="宋体" w:hAnsi="宋体" w:eastAsia="宋体" w:cs="Times New Roman"/>
                <w:kern w:val="2"/>
                <w:sz w:val="21"/>
                <w:szCs w:val="21"/>
                <w:lang w:val="en-US" w:eastAsia="zh-CN" w:bidi="ar-SA"/>
              </w:rPr>
            </w:pPr>
          </w:p>
          <w:p>
            <w:pPr>
              <w:pStyle w:val="2"/>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636" w:type="dxa"/>
          </w:tcPr>
          <w:p>
            <w:pPr>
              <w:spacing w:line="400" w:lineRule="exact"/>
              <w:rPr>
                <w:rFonts w:hint="default" w:ascii="宋体" w:hAnsi="宋体" w:eastAsia="宋体"/>
                <w:szCs w:val="21"/>
                <w:lang w:val="en-US" w:eastAsia="zh-CN"/>
              </w:rPr>
            </w:pPr>
            <w:r>
              <w:rPr>
                <w:rFonts w:hint="eastAsia" w:ascii="宋体" w:hAnsi="宋体"/>
                <w:szCs w:val="21"/>
                <w:lang w:val="en-US" w:eastAsia="zh-CN"/>
              </w:rPr>
              <w:t>在工业园区内</w:t>
            </w:r>
          </w:p>
          <w:p>
            <w:pPr>
              <w:spacing w:line="400" w:lineRule="exact"/>
              <w:rPr>
                <w:rFonts w:ascii="宋体" w:hAnsi="宋体"/>
                <w:szCs w:val="21"/>
              </w:rPr>
            </w:pPr>
          </w:p>
        </w:tc>
        <w:tc>
          <w:tcPr>
            <w:tcW w:w="982" w:type="dxa"/>
          </w:tcPr>
          <w:p>
            <w:pPr>
              <w:spacing w:line="440" w:lineRule="exact"/>
              <w:jc w:val="center"/>
              <w:rPr>
                <w:rFonts w:ascii="宋体" w:hAnsi="宋体"/>
                <w:szCs w:val="21"/>
              </w:rPr>
            </w:pP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636" w:type="dxa"/>
          </w:tcPr>
          <w:p>
            <w:pPr>
              <w:spacing w:line="400" w:lineRule="exact"/>
              <w:rPr>
                <w:rFonts w:ascii="宋体" w:hAnsi="宋体"/>
                <w:szCs w:val="21"/>
              </w:rPr>
            </w:pPr>
            <w:r>
              <w:rPr>
                <w:rFonts w:hint="eastAsia" w:ascii="宋体" w:hAnsi="宋体"/>
                <w:szCs w:val="21"/>
              </w:rPr>
              <w:t>暂无</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Q/S:10.2</w:t>
            </w:r>
          </w:p>
        </w:tc>
        <w:tc>
          <w:tcPr>
            <w:tcW w:w="796" w:type="dxa"/>
            <w:vAlign w:val="top"/>
          </w:tcPr>
          <w:p>
            <w:pPr>
              <w:spacing w:line="440" w:lineRule="exact"/>
              <w:jc w:val="center"/>
              <w:rPr>
                <w:rFonts w:ascii="宋体" w:hAnsi="宋体" w:eastAsia="宋体" w:cs="Times New Roman"/>
                <w:kern w:val="2"/>
                <w:sz w:val="21"/>
                <w:szCs w:val="21"/>
                <w:lang w:val="en-US" w:eastAsia="zh-CN" w:bidi="ar-S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636"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通过一阶段对受审核方的管理、办公生产现场巡视和观察，对管理体系绩效要求有重大影响的过程、活动、场所和现场运行进行观察、巡视及总体性评价，组织具备二阶段审核条件，可进行二阶段审核。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二阶段质量管理体系宜重点关注（合同评审、加工过程、销售过程等）</w:t>
            </w:r>
          </w:p>
          <w:p>
            <w:pPr>
              <w:adjustRightInd w:val="0"/>
              <w:snapToGrid w:val="0"/>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重点审核部门：生产部、综合部、业务部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重点审核过程：销售过程的控制、加工过程的控制、顾客满意；产品和服务放行、不合格产品控制等。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重点审核场所：办公场所、生产场所。</w:t>
            </w:r>
          </w:p>
        </w:tc>
        <w:tc>
          <w:tcPr>
            <w:tcW w:w="982" w:type="dxa"/>
            <w:vAlign w:val="top"/>
          </w:tcPr>
          <w:p>
            <w:pPr>
              <w:adjustRightInd w:val="0"/>
              <w:snapToGrid w:val="0"/>
              <w:rPr>
                <w:rFonts w:hint="eastAsia" w:ascii="宋体" w:hAnsi="宋体"/>
                <w:szCs w:val="21"/>
              </w:rPr>
            </w:pPr>
          </w:p>
        </w:tc>
        <w:tc>
          <w:tcPr>
            <w:tcW w:w="796" w:type="dxa"/>
            <w:vAlign w:val="top"/>
          </w:tcPr>
          <w:p>
            <w:pPr>
              <w:spacing w:line="440" w:lineRule="exact"/>
              <w:jc w:val="center"/>
              <w:rPr>
                <w:rFonts w:ascii="宋体" w:hAnsi="宋体" w:eastAsia="宋体" w:cs="Times New Roman"/>
                <w:kern w:val="2"/>
                <w:sz w:val="21"/>
                <w:szCs w:val="21"/>
                <w:lang w:val="en-US" w:eastAsia="zh-CN" w:bidi="ar-SA"/>
              </w:rPr>
            </w:pP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7E00AD"/>
    <w:rsid w:val="18D762AF"/>
    <w:rsid w:val="2A717545"/>
    <w:rsid w:val="472F5F27"/>
    <w:rsid w:val="54B043FD"/>
    <w:rsid w:val="5DD14661"/>
    <w:rsid w:val="63E2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2021-03-30T06:16:10Z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5BCF73580324406A877FA59FF96FEEEA</vt:lpwstr>
  </property>
</Properties>
</file>