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right"/>
        <w:rPr>
          <w:rFonts w:ascii="楷体" w:hAnsi="楷体" w:eastAsia="楷体"/>
          <w:b/>
          <w:color w:val="000000" w:themeColor="text1"/>
          <w:sz w:val="84"/>
          <w:szCs w:val="84"/>
        </w:rPr>
      </w:pPr>
      <w:r>
        <w:rPr>
          <w:rFonts w:hint="eastAsia" w:ascii="宋体" w:hAnsi="宋体"/>
          <w:sz w:val="18"/>
        </w:rPr>
        <w:t>编  号：</w:t>
      </w:r>
      <w:bookmarkStart w:id="0" w:name="合同编号"/>
      <w:r>
        <w:rPr>
          <w:szCs w:val="44"/>
        </w:rPr>
        <w:t>0216-2021-Q</w:t>
      </w:r>
      <w:bookmarkEnd w:id="0"/>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both"/>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重庆容安钢材加工有限公司</w:t>
      </w:r>
      <w:bookmarkEnd w:id="1"/>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Style w:val="10"/>
          <w:rFonts w:hint="eastAsia" w:ascii="楷体" w:hAnsi="楷体" w:eastAsia="楷体"/>
          <w:b/>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Style w:val="10"/>
          <w:rFonts w:hint="eastAsia" w:ascii="楷体" w:hAnsi="楷体" w:eastAsia="楷体"/>
          <w:b/>
          <w:sz w:val="36"/>
          <w:szCs w:val="36"/>
        </w:rPr>
      </w:pPr>
    </w:p>
    <w:p>
      <w:pPr>
        <w:widowControl/>
        <w:jc w:val="left"/>
        <w:rPr>
          <w:rStyle w:val="10"/>
          <w:rFonts w:hint="eastAsia" w:ascii="楷体" w:hAnsi="楷体" w:eastAsia="楷体"/>
          <w:b/>
          <w:sz w:val="36"/>
          <w:szCs w:val="36"/>
        </w:rPr>
      </w:pPr>
    </w:p>
    <w:p>
      <w:pPr>
        <w:widowControl/>
        <w:jc w:val="left"/>
        <w:rPr>
          <w:rStyle w:val="10"/>
          <w:rFonts w:hint="eastAsia" w:ascii="楷体" w:hAnsi="楷体" w:eastAsia="楷体"/>
          <w:b/>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楷体" w:hAnsi="楷体" w:eastAsia="楷体"/>
                <w:b/>
                <w:color w:val="000000" w:themeColor="text1"/>
                <w:sz w:val="18"/>
                <w:szCs w:val="18"/>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5" w:name="审核依据"/>
      <w:r>
        <w:rPr>
          <w:rFonts w:hint="eastAsia" w:ascii="宋体" w:hAnsi="宋体"/>
          <w:b/>
          <w:color w:val="000000" w:themeColor="text1"/>
          <w:sz w:val="26"/>
          <w:szCs w:val="26"/>
          <w:lang w:eastAsia="zh-CN"/>
        </w:rPr>
        <w:t>：</w:t>
      </w:r>
      <w:r>
        <w:rPr>
          <w:rFonts w:hint="eastAsia" w:ascii="宋体" w:hAnsi="宋体"/>
          <w:b/>
          <w:color w:val="000000" w:themeColor="text1"/>
          <w:spacing w:val="-10"/>
          <w:sz w:val="20"/>
          <w:szCs w:val="20"/>
        </w:rPr>
        <w:t>GB/T19001-2016/ISO9001:2015</w:t>
      </w:r>
      <w:bookmarkEnd w:id="5"/>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重庆容安钢材加工有限公司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重庆市九龙坡区华岩镇中梁山田坝村150号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重庆市九龙坡区华岩镇中梁山田坝村150号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周琳</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023-68608007</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王菊阳</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王菊阳</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周琳</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钢卷的机械加工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17.10.02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楷体" w:hAnsi="楷体" w:eastAsia="楷体"/>
                <w:b/>
                <w:color w:val="000000" w:themeColor="text1"/>
                <w:sz w:val="18"/>
                <w:szCs w:val="18"/>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2020-06-01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z w:val="20"/>
                <w:szCs w:val="20"/>
              </w:rPr>
            </w:pPr>
            <w:r>
              <w:rPr>
                <w:rFonts w:hint="eastAsia" w:ascii="宋体" w:hAnsi="宋体"/>
                <w:b/>
                <w:sz w:val="20"/>
                <w:szCs w:val="20"/>
              </w:rPr>
              <w:t>行政部</w:t>
            </w:r>
          </w:p>
        </w:tc>
        <w:tc>
          <w:tcPr>
            <w:tcW w:w="6804" w:type="dxa"/>
          </w:tcPr>
          <w:p>
            <w:pPr>
              <w:jc w:val="left"/>
              <w:rPr>
                <w:rFonts w:ascii="宋体" w:hAnsi="宋体"/>
                <w:b/>
                <w:spacing w:val="-20"/>
                <w:sz w:val="20"/>
                <w:szCs w:val="20"/>
                <w:u w:val="single"/>
              </w:rPr>
            </w:pPr>
            <w:r>
              <w:rPr>
                <w:rFonts w:hint="eastAsia" w:ascii="宋体" w:hAnsi="宋体"/>
                <w:b/>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sz w:val="20"/>
                <w:szCs w:val="20"/>
              </w:rPr>
            </w:pPr>
            <w:r>
              <w:rPr>
                <w:rFonts w:hint="eastAsia" w:ascii="宋体" w:hAnsi="宋体"/>
                <w:b/>
                <w:sz w:val="20"/>
                <w:szCs w:val="20"/>
              </w:rPr>
              <w:t>生技部</w:t>
            </w:r>
          </w:p>
        </w:tc>
        <w:tc>
          <w:tcPr>
            <w:tcW w:w="6804" w:type="dxa"/>
          </w:tcPr>
          <w:p>
            <w:pPr>
              <w:jc w:val="left"/>
              <w:rPr>
                <w:rFonts w:ascii="宋体" w:hAnsi="宋体"/>
                <w:b/>
                <w:spacing w:val="-20"/>
                <w:sz w:val="20"/>
                <w:szCs w:val="20"/>
                <w:u w:val="single"/>
              </w:rPr>
            </w:pPr>
            <w:r>
              <w:rPr>
                <w:rFonts w:hint="eastAsia" w:ascii="宋体" w:hAnsi="宋体"/>
                <w:b/>
                <w:sz w:val="20"/>
                <w:szCs w:val="20"/>
              </w:rPr>
              <w:t>不合格品控制；纠正和预防措施控制；策划管理；服务过程管理；设备设施管理；过程监控管理；监视和测量设备管理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sz w:val="20"/>
                <w:szCs w:val="20"/>
              </w:rPr>
            </w:pPr>
            <w:r>
              <w:rPr>
                <w:rFonts w:hint="eastAsia" w:ascii="宋体" w:hAnsi="宋体"/>
                <w:b/>
                <w:sz w:val="20"/>
                <w:szCs w:val="20"/>
              </w:rPr>
              <w:t>供销部</w:t>
            </w:r>
          </w:p>
        </w:tc>
        <w:tc>
          <w:tcPr>
            <w:tcW w:w="6804" w:type="dxa"/>
          </w:tcPr>
          <w:p>
            <w:pPr>
              <w:jc w:val="left"/>
              <w:rPr>
                <w:rFonts w:ascii="宋体" w:hAnsi="宋体"/>
                <w:b/>
                <w:spacing w:val="-20"/>
                <w:sz w:val="20"/>
                <w:szCs w:val="20"/>
                <w:u w:val="single"/>
              </w:rPr>
            </w:pPr>
            <w:r>
              <w:rPr>
                <w:rFonts w:hint="eastAsia" w:ascii="宋体" w:hAnsi="宋体"/>
                <w:b/>
                <w:sz w:val="20"/>
                <w:szCs w:val="20"/>
              </w:rPr>
              <w:t>合同管理、顾客满意度、采购管理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53"/>
        <w:gridCol w:w="653"/>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5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53" w:type="dxa"/>
          </w:tcPr>
          <w:p>
            <w:pPr>
              <w:rPr>
                <w:b/>
                <w:color w:val="000000" w:themeColor="text1"/>
                <w:sz w:val="20"/>
                <w:szCs w:val="20"/>
              </w:rPr>
            </w:pPr>
            <w:r>
              <w:rPr>
                <w:rFonts w:hint="eastAsia"/>
                <w:b/>
                <w:color w:val="000000" w:themeColor="text1"/>
                <w:sz w:val="20"/>
                <w:szCs w:val="20"/>
              </w:rPr>
              <w:t>规格</w:t>
            </w:r>
          </w:p>
        </w:tc>
        <w:tc>
          <w:tcPr>
            <w:tcW w:w="609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tcPr>
          <w:p>
            <w:pPr>
              <w:rPr>
                <w:b/>
                <w:color w:val="000000" w:themeColor="text1"/>
                <w:sz w:val="20"/>
                <w:szCs w:val="20"/>
              </w:rPr>
            </w:pPr>
            <w:r>
              <w:rPr>
                <w:rFonts w:hint="eastAsia" w:ascii="宋体" w:hAnsi="宋体"/>
                <w:szCs w:val="21"/>
              </w:rPr>
              <w:t>钢卷的机械加工</w:t>
            </w:r>
          </w:p>
        </w:tc>
        <w:tc>
          <w:tcPr>
            <w:tcW w:w="1153" w:type="dxa"/>
          </w:tcPr>
          <w:p>
            <w:pPr>
              <w:rPr>
                <w:b/>
                <w:color w:val="000000" w:themeColor="text1"/>
                <w:sz w:val="20"/>
                <w:szCs w:val="20"/>
              </w:rPr>
            </w:pPr>
          </w:p>
        </w:tc>
        <w:tc>
          <w:tcPr>
            <w:tcW w:w="653" w:type="dxa"/>
          </w:tcPr>
          <w:p>
            <w:pPr>
              <w:rPr>
                <w:b/>
                <w:color w:val="000000" w:themeColor="text1"/>
                <w:sz w:val="20"/>
                <w:szCs w:val="20"/>
              </w:rPr>
            </w:pPr>
          </w:p>
        </w:tc>
        <w:tc>
          <w:tcPr>
            <w:tcW w:w="6099" w:type="dxa"/>
          </w:tcPr>
          <w:p>
            <w:pPr>
              <w:widowControl/>
              <w:spacing w:line="400" w:lineRule="exact"/>
              <w:rPr>
                <w:b/>
                <w:color w:val="FF0000"/>
                <w:sz w:val="20"/>
                <w:szCs w:val="20"/>
              </w:rPr>
            </w:pPr>
            <w:r>
              <w:rPr>
                <w:rFonts w:hint="eastAsia" w:ascii="宋体" w:hAnsi="宋体"/>
                <w:color w:val="000000" w:themeColor="text1"/>
                <w:sz w:val="21"/>
                <w:szCs w:val="21"/>
                <w:lang w:val="en-US" w:eastAsia="zh-CN"/>
              </w:rPr>
              <w:t>GB/T 17773-1999形状和位置公差 延伸公差带及其表示法、GB/T 1184-1996形状和位置公差未注公差值等</w:t>
            </w:r>
            <w:r>
              <w:rPr>
                <w:rFonts w:hint="eastAsia" w:ascii="宋体" w:hAnsi="宋体"/>
                <w:color w:val="000000" w:themeColor="text1"/>
                <w:sz w:val="21"/>
                <w:szCs w:val="21"/>
                <w:lang w:eastAsia="zh-CN"/>
              </w:rPr>
              <w:t>标准及顾客技术要求</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u w:val="single"/>
        </w:rPr>
        <w:t>2020年6月</w:t>
      </w:r>
      <w:bookmarkStart w:id="21" w:name="OLE_LINK1"/>
      <w:r>
        <w:rPr>
          <w:rFonts w:hint="eastAsia"/>
          <w:b/>
          <w:color w:val="000000" w:themeColor="text1"/>
          <w:spacing w:val="-10"/>
          <w:szCs w:val="21"/>
          <w:u w:val="single"/>
        </w:rPr>
        <w:t>1日</w:t>
      </w:r>
      <w:bookmarkEnd w:id="21"/>
      <w:r>
        <w:rPr>
          <w:rFonts w:hint="eastAsia"/>
          <w:b/>
          <w:color w:val="000000" w:themeColor="text1"/>
          <w:spacing w:val="-10"/>
          <w:szCs w:val="21"/>
          <w:u w:val="single"/>
        </w:rPr>
        <w:t>至2021年</w:t>
      </w:r>
      <w:r>
        <w:rPr>
          <w:rFonts w:hint="eastAsia"/>
          <w:b/>
          <w:color w:val="000000" w:themeColor="text1"/>
          <w:spacing w:val="-10"/>
          <w:szCs w:val="21"/>
          <w:u w:val="single"/>
          <w:lang w:val="en-US" w:eastAsia="zh-CN"/>
        </w:rPr>
        <w:t>04</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01</w:t>
      </w:r>
      <w:r>
        <w:rPr>
          <w:rFonts w:hint="eastAsia"/>
          <w:b/>
          <w:color w:val="000000" w:themeColor="text1"/>
          <w:spacing w:val="-10"/>
          <w:szCs w:val="21"/>
          <w:u w:val="single"/>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用户至上、服务周到、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生产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hint="eastAsia"/>
                <w:lang w:val="en-US" w:eastAsia="zh-CN"/>
              </w:rPr>
            </w:pPr>
            <w:r>
              <w:rPr>
                <w:rFonts w:hint="eastAsia" w:ascii="宋体" w:hAnsi="宋体"/>
                <w:szCs w:val="21"/>
              </w:rPr>
              <w:t>5.QMS过</w:t>
            </w:r>
            <w:r>
              <w:rPr>
                <w:rFonts w:hint="eastAsia"/>
                <w:lang w:val="en-US" w:eastAsia="zh-CN"/>
              </w:rPr>
              <w:t>程</w:t>
            </w:r>
          </w:p>
          <w:p>
            <w:pPr>
              <w:spacing w:line="360" w:lineRule="auto"/>
              <w:rPr>
                <w:rFonts w:hint="eastAsia"/>
                <w:lang w:val="en-US" w:eastAsia="zh-CN"/>
              </w:rPr>
            </w:pPr>
            <w:r>
              <w:rPr>
                <w:rFonts w:hint="eastAsia"/>
                <w:lang w:val="en-US" w:eastAsia="zh-CN"/>
              </w:rPr>
              <w:t>质量管理体系过程有：</w:t>
            </w:r>
          </w:p>
          <w:p>
            <w:pPr>
              <w:spacing w:line="360" w:lineRule="auto"/>
              <w:rPr>
                <w:rFonts w:hint="eastAsia"/>
                <w:lang w:val="en-US" w:eastAsia="zh-CN"/>
              </w:rPr>
            </w:pPr>
            <w:r>
              <w:rPr>
                <w:rFonts w:hint="eastAsia"/>
                <w:lang w:val="en-US" w:eastAsia="zh-CN"/>
              </w:rPr>
              <w:t>产品加工工艺流程</w:t>
            </w:r>
          </w:p>
          <w:p>
            <w:pPr>
              <w:spacing w:line="360" w:lineRule="auto"/>
              <w:rPr>
                <w:rFonts w:hint="default"/>
                <w:lang w:val="en-US" w:eastAsia="zh-CN"/>
              </w:rPr>
            </w:pPr>
            <w:r>
              <w:rPr>
                <w:rFonts w:hint="eastAsia"/>
                <w:lang w:val="en-US" w:eastAsia="zh-CN"/>
              </w:rPr>
              <w:t>客户来料（检验）---分切-----检验----包装----入库交付</w:t>
            </w:r>
          </w:p>
          <w:p>
            <w:pPr>
              <w:spacing w:line="360" w:lineRule="auto"/>
              <w:rPr>
                <w:rFonts w:hint="eastAsia"/>
                <w:lang w:val="en-US" w:eastAsia="zh-CN"/>
              </w:rPr>
            </w:pPr>
            <w:r>
              <w:rPr>
                <w:rFonts w:hint="eastAsia"/>
                <w:lang w:val="en-US" w:eastAsia="zh-CN"/>
              </w:rPr>
              <w:t>关键过程：分切过程。</w:t>
            </w:r>
          </w:p>
          <w:p>
            <w:pPr>
              <w:spacing w:line="360" w:lineRule="auto"/>
              <w:rPr>
                <w:rFonts w:hint="eastAsia"/>
                <w:lang w:val="en-US" w:eastAsia="zh-CN"/>
              </w:rPr>
            </w:pPr>
            <w:r>
              <w:rPr>
                <w:rFonts w:hint="eastAsia"/>
                <w:lang w:val="en-US" w:eastAsia="zh-CN"/>
              </w:rPr>
              <w:t>需确认/特殊过程：无</w:t>
            </w:r>
          </w:p>
          <w:p>
            <w:pPr>
              <w:spacing w:line="360" w:lineRule="auto"/>
              <w:rPr>
                <w:rFonts w:hint="eastAsia"/>
                <w:lang w:val="en-US" w:eastAsia="zh-CN"/>
              </w:rPr>
            </w:pPr>
            <w:r>
              <w:rPr>
                <w:rFonts w:hint="eastAsia"/>
                <w:lang w:val="en-US" w:eastAsia="zh-CN"/>
              </w:rPr>
              <w:t>外包过程：无</w:t>
            </w:r>
          </w:p>
          <w:p>
            <w:pPr>
              <w:spacing w:line="360" w:lineRule="auto"/>
              <w:rPr>
                <w:rFonts w:ascii="宋体" w:hAnsi="宋体"/>
                <w:color w:val="FF0000"/>
                <w:szCs w:val="21"/>
              </w:rPr>
            </w:pPr>
            <w:r>
              <w:rPr>
                <w:rFonts w:hint="eastAsia"/>
                <w:lang w:val="en-US" w:eastAsia="zh-CN"/>
              </w:rPr>
              <w:t xml:space="preserve">公司钢卷的机械加工按相关标准及客户要求进行生产，加工工艺及设备固定成熟。整个加工过程不涉及设计新的流程及产品，故8.3的内容不适用。该条款的不适用，不影响组织确保产品和服务合格以及增强顾客满意的能力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a、产品一次检验合格率为≥98%；</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b、顾客满意度为95分以上</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eastAsia="zh-CN"/>
              </w:rPr>
              <w:t>c、产品按期交付率≥98%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2020</w:t>
            </w:r>
            <w:r>
              <w:rPr>
                <w:rFonts w:hint="eastAsia" w:ascii="宋体" w:hAnsi="宋体" w:cs="宋体"/>
                <w:color w:val="000000" w:themeColor="text1"/>
              </w:rPr>
              <w:t>年0</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numPr>
                <w:ilvl w:val="0"/>
                <w:numId w:val="0"/>
              </w:numPr>
              <w:spacing w:line="400" w:lineRule="exact"/>
              <w:ind w:firstLine="420" w:firstLineChars="200"/>
              <w:rPr>
                <w:rFonts w:ascii="宋体" w:hAnsi="宋体"/>
                <w:b/>
                <w:color w:val="FF0000"/>
                <w:sz w:val="20"/>
                <w:szCs w:val="20"/>
              </w:rPr>
            </w:pPr>
            <w:r>
              <w:rPr>
                <w:rFonts w:hint="eastAsia" w:ascii="宋体" w:hAnsi="宋体"/>
                <w:color w:val="000000" w:themeColor="text1"/>
                <w:sz w:val="21"/>
                <w:szCs w:val="21"/>
                <w:lang w:val="en-US" w:eastAsia="zh-CN"/>
              </w:rPr>
              <w:t>有用于产品加工的场地，车间面积约2500㎡。原材料及成品堆放区域在生产场地划区域堆放，未建立单独的库房。用于办公的办公场所约100㎡，作业场所位于环松工业园区内。.主要生产设备包括：高速平板横切线（分切大块）、高速纵剪机（切卷）、高速飞剪机（分切小块）等，可以满足产品加工需要。对设备按月方式进行点检维护保养，并实施。特种设备：行车2台，叉车1台。能提供其中一台行车及叉车的有效年检报告（见附件扫描件）。另一台行车组织不能提供其有效年检报告（已开具不符合要求整改）。</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FF0000"/>
                <w:sz w:val="20"/>
                <w:szCs w:val="20"/>
              </w:rPr>
            </w:pPr>
            <w:r>
              <w:rPr>
                <w:rFonts w:hint="eastAsia" w:ascii="宋体" w:hAnsi="宋体"/>
                <w:color w:val="000000" w:themeColor="text1"/>
                <w:sz w:val="21"/>
                <w:szCs w:val="21"/>
                <w:lang w:val="en-US" w:eastAsia="zh-CN"/>
              </w:rPr>
              <w:t>加工车间内设备布置合理，通道畅通，照明设施齐全，均配备了消防设施等设施。办公室明亮，作业场所光线较充足。每月由生技部对工作环境进行定期检查。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color w:val="000000" w:themeColor="text1"/>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color w:val="000000" w:themeColor="text1"/>
                <w:sz w:val="21"/>
                <w:szCs w:val="21"/>
                <w:lang w:val="en-US" w:eastAsia="zh-CN"/>
              </w:rPr>
              <w:t>公司的监视和测量设施设备主要是千分尺、游标卡尺等，查在用检具的校准证书，能提供以上检具的有效校准证书，符合标准要求。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w:t>
            </w:r>
            <w:r>
              <w:rPr>
                <w:rFonts w:hint="eastAsia" w:ascii="宋体" w:hAnsi="宋体" w:cs="宋体"/>
                <w:color w:val="000000" w:themeColor="text1"/>
                <w:szCs w:val="21"/>
              </w:rPr>
              <w:t>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themeColor="text1"/>
                <w:szCs w:val="21"/>
                <w:lang w:eastAsia="zh-CN"/>
              </w:rPr>
              <w:t>分切过程</w:t>
            </w:r>
            <w:r>
              <w:rPr>
                <w:rFonts w:hint="eastAsia" w:ascii="宋体" w:hAnsi="宋体" w:cs="宋体"/>
                <w:color w:val="000000" w:themeColor="text1"/>
                <w:szCs w:val="21"/>
              </w:rPr>
              <w:t xml:space="preserve">   特殊过程：无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00" w:firstLineChars="200"/>
              <w:rPr>
                <w:b/>
                <w:color w:val="000000" w:themeColor="text1"/>
                <w:sz w:val="20"/>
                <w:szCs w:val="20"/>
              </w:rPr>
            </w:pPr>
            <w:r>
              <w:rPr>
                <w:rFonts w:hint="eastAsia"/>
                <w:b w:val="0"/>
                <w:bCs/>
                <w:color w:val="000000" w:themeColor="text1"/>
                <w:sz w:val="20"/>
                <w:szCs w:val="20"/>
                <w:lang w:eastAsia="zh-CN"/>
              </w:rPr>
              <w:t>无</w:t>
            </w: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10. 对特种设备的维护; （适用时）</w:t>
            </w:r>
          </w:p>
          <w:p>
            <w:pPr>
              <w:spacing w:line="240" w:lineRule="exact"/>
              <w:rPr>
                <w:b/>
                <w:color w:val="000000" w:themeColor="text1"/>
                <w:sz w:val="20"/>
                <w:szCs w:val="20"/>
              </w:rPr>
            </w:pPr>
            <w:r>
              <w:rPr>
                <w:rFonts w:hint="eastAsia"/>
                <w:b/>
                <w:color w:val="000000" w:themeColor="text1"/>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w:t>
            </w:r>
            <w:r>
              <w:rPr>
                <w:rFonts w:hint="eastAsia" w:ascii="宋体" w:hAnsi="宋体" w:cs="宋体"/>
                <w:color w:val="000000" w:themeColor="text1"/>
                <w:szCs w:val="21"/>
              </w:rPr>
              <w:t>关职能部门和层次，规定了目标值、计算方法、责任部门、检查人、考核频次等。同时，质量目标得到沟通和监视评价，通过数据的汇总统计、描述性统计等方法对目标进行了测量，总体已达到或超过了规定的目标值。通过2020年1</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02</w:t>
            </w:r>
            <w:r>
              <w:rPr>
                <w:rFonts w:hint="eastAsia" w:ascii="宋体" w:hAnsi="宋体" w:cs="宋体"/>
                <w:color w:val="000000" w:themeColor="text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月实施，满意度评价9</w:t>
            </w:r>
            <w:r>
              <w:rPr>
                <w:rFonts w:hint="eastAsia" w:ascii="宋体" w:hAnsi="宋体" w:cs="宋体"/>
                <w:color w:val="000000"/>
                <w:szCs w:val="21"/>
                <w:lang w:val="en-US" w:eastAsia="zh-CN"/>
              </w:rPr>
              <w:t>8%</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建立有《内部审核控制程序》，规定了内审频次一年一次，内审时间：202</w:t>
            </w:r>
            <w:r>
              <w:rPr>
                <w:rFonts w:hint="eastAsia" w:ascii="宋体" w:hAnsi="宋体" w:cs="宋体"/>
                <w:szCs w:val="21"/>
                <w:lang w:val="en-US" w:eastAsia="zh-CN"/>
              </w:rPr>
              <w:t>1</w:t>
            </w:r>
            <w:r>
              <w:rPr>
                <w:rFonts w:hint="eastAsia" w:ascii="宋体" w:hAnsi="宋体" w:cs="宋体"/>
                <w:szCs w:val="21"/>
              </w:rPr>
              <w:t>年 0</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0日，拟定了审核实施表，明确了内审范围，内审人员经培训合格上岗，能力满足要求，未出现审核本部门情况，内审不符合项1项，涉及</w:t>
            </w:r>
            <w:r>
              <w:rPr>
                <w:rFonts w:hint="eastAsia" w:ascii="宋体" w:hAnsi="宋体" w:cs="宋体"/>
                <w:szCs w:val="21"/>
                <w:lang w:eastAsia="zh-CN"/>
              </w:rPr>
              <w:t>行政</w:t>
            </w:r>
            <w:r>
              <w:rPr>
                <w:rFonts w:hint="eastAsia" w:ascii="宋体" w:hAnsi="宋体" w:cs="宋体"/>
                <w:szCs w:val="21"/>
              </w:rPr>
              <w:t>部</w:t>
            </w:r>
            <w:r>
              <w:rPr>
                <w:rFonts w:hint="eastAsia" w:ascii="宋体" w:hAnsi="宋体" w:cs="宋体"/>
                <w:szCs w:val="21"/>
                <w:lang w:val="en-US" w:eastAsia="zh-CN"/>
              </w:rPr>
              <w:t>7.2</w:t>
            </w:r>
            <w:r>
              <w:rPr>
                <w:rFonts w:hint="eastAsia" w:ascii="宋体" w:hAnsi="宋体" w:cs="宋体"/>
                <w:szCs w:val="21"/>
              </w:rPr>
              <w:t>条款。对不符合事实描述为“</w:t>
            </w:r>
            <w:r>
              <w:rPr>
                <w:rFonts w:hint="eastAsia" w:ascii="宋体" w:hAnsi="宋体" w:cs="宋体"/>
                <w:szCs w:val="21"/>
                <w:lang w:eastAsia="zh-CN"/>
              </w:rPr>
              <w:t>现场查看发现在《</w:t>
            </w:r>
            <w:r>
              <w:rPr>
                <w:rFonts w:hint="eastAsia" w:ascii="宋体" w:hAnsi="宋体" w:cs="宋体"/>
                <w:szCs w:val="21"/>
                <w:lang w:val="en-US" w:eastAsia="zh-CN"/>
              </w:rPr>
              <w:t>GB/T 1184-1996形状和位置公差 未注公差值</w:t>
            </w:r>
            <w:r>
              <w:rPr>
                <w:rFonts w:hint="eastAsia" w:ascii="宋体" w:hAnsi="宋体" w:cs="宋体"/>
                <w:szCs w:val="21"/>
                <w:lang w:eastAsia="zh-CN"/>
              </w:rPr>
              <w:t>》培训时，相关负责人未对其培训效果作出评价。</w:t>
            </w:r>
            <w:r>
              <w:rPr>
                <w:rFonts w:hint="eastAsia" w:ascii="宋体" w:hAnsi="宋体" w:cs="宋体"/>
                <w:szCs w:val="21"/>
              </w:rPr>
              <w:t>”。针对以上不符合项，已及时采取纠正措施后，经内审员验证关闭。内审的有效性需要改善。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0日由总经理主持完成、提供主要输入材料有各部门总结，输入信息基本充分和满足要求。输出见“管理评审报告”,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ascii="宋体" w:hAnsi="宋体" w:cs="宋体"/>
                <w:color w:val="000000" w:themeColor="text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400" w:lineRule="exact"/>
              <w:rPr>
                <w:rFonts w:hint="eastAsia" w:ascii="宋体" w:hAnsi="宋体"/>
                <w:color w:val="000000" w:themeColor="text1"/>
                <w:sz w:val="21"/>
                <w:szCs w:val="21"/>
                <w:lang w:eastAsia="zh-CN"/>
              </w:rPr>
            </w:pPr>
            <w:r>
              <w:rPr>
                <w:rFonts w:hint="eastAsia" w:ascii="宋体" w:hAnsi="宋体"/>
                <w:b/>
                <w:bCs/>
                <w:color w:val="000000" w:themeColor="text1"/>
                <w:szCs w:val="21"/>
              </w:rPr>
              <w:t>3.</w:t>
            </w:r>
            <w:r>
              <w:rPr>
                <w:rFonts w:hint="eastAsia" w:ascii="宋体" w:hAnsi="宋体"/>
                <w:szCs w:val="21"/>
              </w:rPr>
              <w:t>一阶段提出问题的整改情况?</w:t>
            </w:r>
          </w:p>
          <w:p>
            <w:pPr>
              <w:numPr>
                <w:ilvl w:val="0"/>
                <w:numId w:val="0"/>
              </w:numPr>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特种设备：行车</w:t>
            </w:r>
            <w:r>
              <w:rPr>
                <w:rFonts w:hint="eastAsia" w:ascii="宋体" w:hAnsi="宋体"/>
                <w:color w:val="000000" w:themeColor="text1"/>
                <w:sz w:val="21"/>
                <w:szCs w:val="21"/>
                <w:lang w:val="en-US" w:eastAsia="zh-CN"/>
              </w:rPr>
              <w:t>2台，叉车1台。能提供其中一台行车及叉车的有效年检报告。另一台行车组织不能提供其有效年检报告。</w:t>
            </w:r>
          </w:p>
          <w:p>
            <w:pPr>
              <w:numPr>
                <w:ilvl w:val="0"/>
                <w:numId w:val="0"/>
              </w:numPr>
              <w:spacing w:line="400" w:lineRule="exact"/>
              <w:rPr>
                <w:b/>
                <w:color w:val="FF0000"/>
                <w:spacing w:val="-20"/>
                <w:sz w:val="20"/>
                <w:szCs w:val="20"/>
              </w:rPr>
            </w:pPr>
            <w:r>
              <w:rPr>
                <w:rFonts w:hint="eastAsia" w:ascii="宋体" w:hAnsi="宋体"/>
                <w:color w:val="000000" w:themeColor="text1"/>
                <w:sz w:val="21"/>
                <w:szCs w:val="21"/>
                <w:lang w:eastAsia="zh-CN"/>
              </w:rPr>
              <w:t>二阶段审核时未整改到位。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215"/>
          <w:tab w:val="left" w:pos="430"/>
        </w:tabs>
        <w:spacing w:line="360" w:lineRule="auto"/>
        <w:ind w:left="-190" w:leftChars="-472" w:hanging="801" w:hangingChars="380"/>
        <w:rPr>
          <w:b/>
          <w:bCs/>
          <w:color w:val="000000" w:themeColor="text1"/>
          <w:szCs w:val="28"/>
        </w:rPr>
      </w:pPr>
      <w:r>
        <w:rPr>
          <w:rFonts w:hint="eastAsia"/>
          <w:b/>
          <w:bCs/>
          <w:color w:val="000000" w:themeColor="text1"/>
          <w:szCs w:val="28"/>
        </w:rPr>
        <w:t>1. 本次审核共开具不符合项报告1项；其中</w:t>
      </w:r>
      <w:r>
        <w:rPr>
          <w:rFonts w:hint="eastAsia"/>
          <w:b/>
          <w:bCs/>
          <w:color w:val="000000" w:themeColor="text1"/>
          <w:szCs w:val="28"/>
        </w:rPr>
        <w:pict>
          <v:line id="直接连接符 1" o:spid="_x0000_s1029" o:spt="20" style="position:absolute;left:0pt;margin-left:210pt;margin-top:16.2pt;height:0pt;width:0pt;z-index:251661312;mso-width-relative:page;mso-height-relative:page;" coordsize="21600,21600" o:allowincell="f">
            <v:path arrowok="t"/>
            <v:fill focussize="0,0"/>
            <v:stroke/>
            <v:imagedata o:title=""/>
            <o:lock v:ext="edit"/>
          </v:line>
        </w:pict>
      </w:r>
      <w:r>
        <w:rPr>
          <w:rFonts w:hint="eastAsia"/>
          <w:b/>
          <w:bCs/>
          <w:color w:val="000000" w:themeColor="text1"/>
          <w:szCs w:val="28"/>
        </w:rPr>
        <w:t>严重不符合0项，一般不符合1项，观察</w:t>
      </w:r>
      <w:r>
        <w:rPr>
          <w:rFonts w:hint="eastAsia"/>
          <w:b/>
          <w:bCs/>
          <w:color w:val="000000" w:themeColor="text1"/>
          <w:szCs w:val="28"/>
          <w:lang w:val="en-US" w:eastAsia="zh-CN"/>
        </w:rPr>
        <w:t>0</w:t>
      </w:r>
      <w:r>
        <w:rPr>
          <w:rFonts w:hint="eastAsia"/>
          <w:b/>
          <w:bCs/>
          <w:color w:val="000000" w:themeColor="text1"/>
          <w:szCs w:val="28"/>
        </w:rPr>
        <w:t>项</w:t>
      </w:r>
      <w:r>
        <w:rPr>
          <w:rFonts w:hint="eastAsia"/>
          <w:b/>
          <w:bCs/>
          <w:color w:val="000000" w:themeColor="text1"/>
          <w:szCs w:val="28"/>
          <w:lang w:eastAsia="zh-CN"/>
        </w:rPr>
        <w:t>。</w:t>
      </w:r>
      <w:r>
        <w:rPr>
          <w:rFonts w:hint="eastAsia"/>
          <w:b/>
          <w:bCs/>
          <w:color w:val="000000" w:themeColor="text1"/>
          <w:szCs w:val="28"/>
          <w:lang w:val="en-US" w:eastAsia="zh-CN"/>
        </w:rPr>
        <w:t>不符合</w:t>
      </w:r>
      <w:r>
        <w:rPr>
          <w:rFonts w:hint="eastAsia"/>
          <w:b/>
          <w:bCs/>
          <w:color w:val="000000" w:themeColor="text1"/>
          <w:szCs w:val="28"/>
        </w:rPr>
        <w:t>项分布在</w:t>
      </w:r>
      <w:r>
        <w:rPr>
          <w:rFonts w:hint="eastAsia"/>
          <w:b/>
          <w:bCs/>
          <w:color w:val="000000" w:themeColor="text1"/>
          <w:szCs w:val="28"/>
          <w:lang w:eastAsia="zh-CN"/>
        </w:rPr>
        <w:t>生技部</w:t>
      </w:r>
      <w:r>
        <w:rPr>
          <w:rFonts w:hint="eastAsia"/>
          <w:b/>
          <w:bCs/>
          <w:color w:val="000000" w:themeColor="text1"/>
          <w:szCs w:val="28"/>
        </w:rPr>
        <w:t>7.1.</w:t>
      </w:r>
      <w:r>
        <w:rPr>
          <w:rFonts w:hint="eastAsia"/>
          <w:b/>
          <w:bCs/>
          <w:color w:val="000000" w:themeColor="text1"/>
          <w:szCs w:val="28"/>
          <w:lang w:val="en-US" w:eastAsia="zh-CN"/>
        </w:rPr>
        <w:t>3</w:t>
      </w:r>
      <w:r>
        <w:rPr>
          <w:rFonts w:hint="eastAsia"/>
          <w:b/>
          <w:bCs/>
          <w:color w:val="000000" w:themeColor="text1"/>
          <w:szCs w:val="28"/>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rPr>
              <w:t>■审核范围变更，（详见认证信息变更传递单）</w:t>
            </w:r>
          </w:p>
          <w:p>
            <w:pPr>
              <w:spacing w:line="320" w:lineRule="exact"/>
              <w:rPr>
                <w:rFonts w:hint="eastAsia"/>
                <w:b w:val="0"/>
                <w:bCs/>
                <w:color w:val="000000" w:themeColor="text1"/>
              </w:rPr>
            </w:pPr>
            <w:r>
              <w:rPr>
                <w:rFonts w:ascii="宋体" w:hAnsi="宋体"/>
                <w:b/>
                <w:color w:val="000000" w:themeColor="text1"/>
              </w:rPr>
              <w:t>QMS:</w:t>
            </w:r>
            <w:r>
              <w:rPr>
                <w:sz w:val="20"/>
              </w:rPr>
              <w:t xml:space="preserve"> </w:t>
            </w:r>
            <w:r>
              <w:rPr>
                <w:rFonts w:hint="eastAsia"/>
                <w:b w:val="0"/>
                <w:bCs/>
                <w:color w:val="000000" w:themeColor="text1"/>
              </w:rPr>
              <w:t>钢卷的机械加工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b/>
          <w:color w:val="000000" w:themeColor="text1"/>
          <w:sz w:val="26"/>
          <w:szCs w:val="26"/>
        </w:rPr>
        <w:t>任何影响审核方案的重要事项：</w:t>
      </w:r>
      <w:r>
        <w:rPr>
          <w:rFonts w:hint="eastAsia"/>
          <w:b w:val="0"/>
          <w:bCs/>
          <w:color w:val="000000" w:themeColor="text1"/>
          <w:sz w:val="26"/>
          <w:szCs w:val="26"/>
        </w:rPr>
        <w:t>无</w:t>
      </w: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drawing>
          <wp:anchor distT="0" distB="0" distL="114300" distR="114300" simplePos="0" relativeHeight="251662336" behindDoc="0" locked="0" layoutInCell="1" allowOverlap="1">
            <wp:simplePos x="0" y="0"/>
            <wp:positionH relativeFrom="column">
              <wp:posOffset>1671955</wp:posOffset>
            </wp:positionH>
            <wp:positionV relativeFrom="paragraph">
              <wp:posOffset>308610</wp:posOffset>
            </wp:positionV>
            <wp:extent cx="420370" cy="321945"/>
            <wp:effectExtent l="19050" t="0" r="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2" w:leftChars="-32" w:hanging="55" w:hangingChars="26"/>
        <w:rPr>
          <w:b/>
          <w:color w:val="000000" w:themeColor="text1"/>
          <w:sz w:val="26"/>
          <w:szCs w:val="26"/>
        </w:rPr>
      </w:pPr>
      <w:r>
        <w:rPr>
          <w:b/>
          <w:color w:val="000000" w:themeColor="text1"/>
        </w:rPr>
        <w:drawing>
          <wp:anchor distT="0" distB="0" distL="114300" distR="114300" simplePos="0" relativeHeight="251663360" behindDoc="0" locked="0" layoutInCell="1" allowOverlap="1">
            <wp:simplePos x="0" y="0"/>
            <wp:positionH relativeFrom="column">
              <wp:posOffset>1577340</wp:posOffset>
            </wp:positionH>
            <wp:positionV relativeFrom="paragraph">
              <wp:posOffset>5715</wp:posOffset>
            </wp:positionV>
            <wp:extent cx="420370" cy="321945"/>
            <wp:effectExtent l="19050" t="0" r="0" b="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：2021</w:t>
      </w:r>
      <w:r>
        <w:rPr>
          <w:rFonts w:hint="eastAsia" w:asciiTheme="minorEastAsia" w:hAnsiTheme="minorEastAsia" w:eastAsiaTheme="minorEastAsia"/>
          <w:b/>
          <w:color w:val="000000" w:themeColor="text1"/>
        </w:rPr>
        <w:t>年 4月1日</w:t>
      </w:r>
    </w:p>
    <w:p>
      <w:pPr>
        <w:spacing w:beforeLines="50" w:afterLines="50"/>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1 )个一般不符合，(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napToGrid w:val="0"/>
        <w:spacing w:line="360" w:lineRule="auto"/>
        <w:rPr>
          <w:rFonts w:hint="eastAsia"/>
          <w:b/>
          <w:color w:val="000000" w:themeColor="text1"/>
          <w:szCs w:val="21"/>
        </w:rPr>
      </w:pPr>
    </w:p>
    <w:p>
      <w:pPr>
        <w:snapToGrid w:val="0"/>
        <w:spacing w:line="360" w:lineRule="auto"/>
        <w:rPr>
          <w:rFonts w:hint="eastAsia"/>
          <w:b/>
          <w:color w:val="000000" w:themeColor="text1"/>
          <w:szCs w:val="21"/>
        </w:rPr>
      </w:pPr>
      <w:r>
        <w:rPr>
          <w:rFonts w:hint="eastAsia"/>
          <w:b/>
          <w:color w:val="000000" w:themeColor="text1"/>
          <w:szCs w:val="21"/>
        </w:rPr>
        <w:drawing>
          <wp:anchor distT="0" distB="0" distL="114300" distR="114300" simplePos="0" relativeHeight="251664384" behindDoc="0" locked="0" layoutInCell="1" allowOverlap="1">
            <wp:simplePos x="0" y="0"/>
            <wp:positionH relativeFrom="column">
              <wp:posOffset>986790</wp:posOffset>
            </wp:positionH>
            <wp:positionV relativeFrom="paragraph">
              <wp:posOffset>17145</wp:posOffset>
            </wp:positionV>
            <wp:extent cx="420370" cy="321945"/>
            <wp:effectExtent l="19050" t="0" r="0" b="0"/>
            <wp:wrapNone/>
            <wp:docPr id="5"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p>
    <w:p>
      <w:pPr>
        <w:snapToGrid w:val="0"/>
        <w:spacing w:line="360" w:lineRule="auto"/>
        <w:ind w:firstLine="4975" w:firstLineChars="2360"/>
        <w:rPr>
          <w:b/>
          <w:color w:val="000000" w:themeColor="text1"/>
          <w:sz w:val="16"/>
          <w:szCs w:val="16"/>
        </w:rPr>
      </w:pPr>
      <w:r>
        <w:rPr>
          <w:rFonts w:hint="eastAsia"/>
          <w:b/>
          <w:color w:val="000000" w:themeColor="text1"/>
        </w:rPr>
        <w:t>日期 ：2021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Lines="100" w:afterLines="50"/>
        <w:rPr>
          <w:b/>
          <w:color w:val="000000" w:themeColor="text1"/>
          <w:szCs w:val="21"/>
        </w:rPr>
      </w:pP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 w:val="16"/>
          <w:szCs w:val="16"/>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p>
      <w:pPr>
        <w:ind w:left="-1" w:leftChars="-337" w:hanging="707" w:hangingChars="271"/>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90BA1"/>
    <w:rsid w:val="00801DEC"/>
    <w:rsid w:val="00E90BA1"/>
    <w:rsid w:val="00EA61E6"/>
    <w:rsid w:val="00EC1A43"/>
    <w:rsid w:val="0750121A"/>
    <w:rsid w:val="10411F87"/>
    <w:rsid w:val="14392C81"/>
    <w:rsid w:val="34BB611E"/>
    <w:rsid w:val="6B1634A2"/>
    <w:rsid w:val="7AEE6F95"/>
    <w:rsid w:val="7EA80356"/>
    <w:rsid w:val="7F133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1252</Words>
  <Characters>7139</Characters>
  <Lines>59</Lines>
  <Paragraphs>16</Paragraphs>
  <TotalTime>1</TotalTime>
  <ScaleCrop>false</ScaleCrop>
  <LinksUpToDate>false</LinksUpToDate>
  <CharactersWithSpaces>8375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2021-05-28T02:14:46Z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EC02D42CF0B64CCF9334EBB6ED14C0EB</vt:lpwstr>
  </property>
</Properties>
</file>