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管理层应注重内审的有效性，内审员的审核能力有待提升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_GoBack"/>
            <w:bookmarkEnd w:id="4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61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17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2021-04-09T02:56:05Z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23EC492E61184D9E826D87575032F808</vt:lpwstr>
  </property>
</Properties>
</file>