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0" w:name="组织名称"/>
            <w:r>
              <w:rPr>
                <w:b/>
                <w:bCs/>
                <w:sz w:val="21"/>
                <w:szCs w:val="21"/>
              </w:rPr>
              <w:t>重庆居易智能科技有限公司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重庆市南岸区茶园千方交通信息产业园7号楼10楼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2" w:name="联系人"/>
            <w:r>
              <w:rPr>
                <w:b/>
                <w:bCs/>
                <w:sz w:val="21"/>
                <w:szCs w:val="21"/>
              </w:rPr>
              <w:t>何益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3" w:name="联系人电话"/>
            <w:r>
              <w:rPr>
                <w:b/>
                <w:bCs/>
                <w:sz w:val="21"/>
                <w:szCs w:val="21"/>
              </w:rPr>
              <w:t>023-68175655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4" w:name="生产邮编"/>
            <w:r>
              <w:rPr>
                <w:b/>
                <w:bCs/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/>
                <w:bCs/>
              </w:rPr>
            </w:pPr>
            <w:bookmarkStart w:id="5" w:name="最高管理者"/>
            <w:bookmarkEnd w:id="5"/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张辉权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/>
                <w:bCs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8" w:name="合同编号"/>
            <w:r>
              <w:rPr>
                <w:b/>
                <w:bCs/>
                <w:sz w:val="20"/>
              </w:rPr>
              <w:t>0218-2021-QJ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sym w:font="Wingdings 2" w:char="0052"/>
            </w:r>
            <w:r>
              <w:rPr>
                <w:b/>
                <w:bCs/>
                <w:spacing w:val="-2"/>
                <w:sz w:val="20"/>
              </w:rPr>
              <w:t>QMS</w:t>
            </w:r>
            <w:r>
              <w:rPr>
                <w:rFonts w:hint="eastAsia"/>
                <w:b/>
                <w:bCs/>
                <w:sz w:val="20"/>
              </w:rPr>
              <w:sym w:font="Wingdings 2" w:char="0052"/>
            </w:r>
            <w:r>
              <w:rPr>
                <w:b/>
                <w:bCs/>
                <w:spacing w:val="-2"/>
                <w:sz w:val="20"/>
              </w:rPr>
              <w:t>EMS</w:t>
            </w:r>
            <w:r>
              <w:rPr>
                <w:rFonts w:hint="eastAsia"/>
                <w:b/>
                <w:bCs/>
                <w:sz w:val="20"/>
              </w:rPr>
              <w:sym w:font="Wingdings 2" w:char="0052"/>
            </w:r>
            <w:r>
              <w:rPr>
                <w:b/>
                <w:bCs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9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10" w:name="审核范围"/>
            <w:r>
              <w:rPr>
                <w:b/>
                <w:bCs/>
                <w:sz w:val="20"/>
              </w:rPr>
              <w:t>资质范围内的电子与智能化工程施工</w:t>
            </w:r>
            <w:bookmarkEnd w:id="10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专业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11" w:name="专业代码"/>
            <w:r>
              <w:rPr>
                <w:b/>
                <w:bCs/>
                <w:sz w:val="20"/>
              </w:rPr>
              <w:t>28.07.01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bCs/>
                <w:sz w:val="20"/>
                <w:lang w:val="de-DE"/>
              </w:rPr>
            </w:pPr>
            <w:bookmarkStart w:id="12" w:name="审核依据"/>
            <w:r>
              <w:rPr>
                <w:rFonts w:hint="eastAsia"/>
                <w:b/>
                <w:bCs/>
                <w:sz w:val="20"/>
                <w:lang w:val="de-DE"/>
              </w:rPr>
              <w:t>GB/T19001-2016/ISO9001:2015和GB/T50430-2017</w:t>
            </w:r>
            <w:bookmarkEnd w:id="12"/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bCs/>
                <w:sz w:val="20"/>
                <w:lang w:val="de-DE"/>
              </w:rPr>
            </w:pPr>
            <w:r>
              <w:rPr>
                <w:rFonts w:hint="eastAsia"/>
                <w:b/>
                <w:bCs/>
                <w:sz w:val="20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bCs/>
                <w:sz w:val="20"/>
              </w:rPr>
              <w:t>2021年03月30日 上午至2021年03月30日 下午 (共1.0天)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bCs/>
                <w:sz w:val="20"/>
              </w:rPr>
              <w:t>普通话</w:t>
            </w:r>
            <w:r>
              <w:rPr>
                <w:rFonts w:hint="eastAsia"/>
                <w:b/>
                <w:bCs/>
                <w:sz w:val="20"/>
                <w:lang w:val="de-DE"/>
              </w:rPr>
              <w:t>□</w:t>
            </w:r>
            <w:r>
              <w:rPr>
                <w:rFonts w:hint="eastAsia"/>
                <w:b/>
                <w:bCs/>
                <w:sz w:val="20"/>
              </w:rPr>
              <w:t>英语</w:t>
            </w:r>
            <w:r>
              <w:rPr>
                <w:rFonts w:hint="eastAsia"/>
                <w:b/>
                <w:bCs/>
                <w:sz w:val="20"/>
                <w:lang w:val="de-DE"/>
              </w:rPr>
              <w:t>□</w:t>
            </w:r>
            <w:r>
              <w:rPr>
                <w:rFonts w:hint="eastAsia"/>
                <w:b/>
                <w:bCs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专业代码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28.07.01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李凤仪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审核方案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受审核方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13204010599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2021-03-29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/>
                <w:b/>
                <w:bCs/>
                <w:sz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2021-03-29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/>
                <w:bCs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065"/>
        <w:gridCol w:w="2505"/>
        <w:gridCol w:w="3943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9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12:00-12;30（午餐）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6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250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与管理层有关的质量管理活动管理活动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943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Q/(J)：Q:4.1/4.2/4.3/4.4/（3.1、3.3）5.1（4.3）/5.2（3.2）/5.3（4.3）/6.1（12.3-5）/6.2（3.2）/6.3（3.4）/7.1.1(3.4)/9.1.1（3.4.2、11.1.1、11.2、12.1、12.2.1-2）/9.3（12.4）/10.1(12.1)/10.3（12.5）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资质验证、安全事故、顾客投诉、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一阶段问题整改，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抽查、遵纪守法情况等。</w:t>
            </w:r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065" w:type="dxa"/>
            <w:vAlign w:val="top"/>
          </w:tcPr>
          <w:p>
            <w:pPr>
              <w:spacing w:line="300" w:lineRule="exact"/>
              <w:rPr>
                <w:rFonts w:asci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采购和销售服务的要求及顾客满意等运行过程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涉及的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管理体系运行控制</w:t>
            </w:r>
          </w:p>
        </w:tc>
        <w:tc>
          <w:tcPr>
            <w:tcW w:w="3943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 5.3(4.3)/6.2（3.2）/8.2（6.2-6.3）/8.4（9.1-9.3、8.1-8.4）/9.1.2(10.7)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300" w:lineRule="exact"/>
              <w:rPr>
                <w:rFonts w:hint="eastAsia" w:asci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/>
                <w:b/>
                <w:bCs/>
                <w:color w:val="auto"/>
                <w:sz w:val="20"/>
              </w:rPr>
              <w:t>在建项目部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资质范围内的电子与智能化工程施工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项目的策划、实施、放行、交付等质量管理活动控制</w:t>
            </w:r>
          </w:p>
        </w:tc>
        <w:tc>
          <w:tcPr>
            <w:tcW w:w="394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Q/J:5.3（4.3）/6.2(3.2)/7.1.3(7)/7.1.4(10.5.1) /7.1.5(11.5)/8.1、（10.1.1/10.2）/8.3(10.3) /8.5(10.4、10.5、10.6) /8.6（11.3.1-3）/8.7（8.3、8.5、9.4、11.5）10.2(12.3)</w:t>
            </w:r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</w:tcPr>
          <w:p>
            <w:pPr>
              <w:spacing w:line="300" w:lineRule="exact"/>
              <w:rPr>
                <w:rFonts w:hint="eastAsia" w:asci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0"/>
              </w:rPr>
              <w:t>行政部</w:t>
            </w:r>
            <w:r>
              <w:rPr>
                <w:rFonts w:hint="eastAsia" w:asci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ascii="宋体"/>
                <w:b/>
                <w:bCs/>
                <w:color w:val="auto"/>
                <w:sz w:val="20"/>
                <w:lang w:val="en-US" w:eastAsia="zh-CN"/>
              </w:rPr>
              <w:t>含财务</w:t>
            </w:r>
            <w:r>
              <w:rPr>
                <w:rFonts w:hint="eastAsia" w:asci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250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目标管理方案,与管理过程控制；人力资源；文件记录控制；内外部信息交流过程；内审管理等；职责范围内的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管理活动 </w:t>
            </w:r>
          </w:p>
        </w:tc>
        <w:tc>
          <w:tcPr>
            <w:tcW w:w="39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Q(J):5.3(4.3)/6.1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12.3-5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）、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6.2(3.4)/7.1.2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(5.1-3)/7.1.6(3.3.4)/7.2-7.3/(5.1-5.3)/7.4(10.5.4)/7.5(3.5)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9.1.3(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12.1/12.2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)/9.2(12.2)/10.2(12.3) </w:t>
            </w:r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6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工程部、质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部（完工项目）</w:t>
            </w:r>
          </w:p>
        </w:tc>
        <w:tc>
          <w:tcPr>
            <w:tcW w:w="250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资质范围内的</w:t>
            </w:r>
            <w:r>
              <w:rPr>
                <w:b/>
                <w:bCs/>
                <w:sz w:val="20"/>
              </w:rPr>
              <w:t>电子与智能化工程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项目的策划、实施、放行、交付等质量控制（完工项目）</w:t>
            </w:r>
          </w:p>
        </w:tc>
        <w:tc>
          <w:tcPr>
            <w:tcW w:w="3943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 :5.3（4.3）/6.2(3.2)/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7.1.3(7)/7.1.4(10.5.1)7.1.5(11.5)/8.1、（10.1.1/10.2）/8.3(10.3) /8.5(10.4、10.5、10.6) /8.6（11.3.1-3）/8.7（8.3、8.5、9.4、11.5）10.2(12.3)</w:t>
            </w:r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;-17:00;</w:t>
            </w:r>
          </w:p>
        </w:tc>
        <w:tc>
          <w:tcPr>
            <w:tcW w:w="106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补充审核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审核组内沟通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与受审核方领导</w:t>
            </w:r>
          </w:p>
        </w:tc>
        <w:tc>
          <w:tcPr>
            <w:tcW w:w="250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9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bCs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980797"/>
    <w:rsid w:val="14F22464"/>
    <w:rsid w:val="27146D11"/>
    <w:rsid w:val="2FAF1245"/>
    <w:rsid w:val="3C0A70EE"/>
    <w:rsid w:val="53C12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2021-04-08T08:46:11Z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2A3B225A097E4CC7956D6F7E50424C72</vt:lpwstr>
  </property>
</Properties>
</file>