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客户服务部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李清江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审核日期：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EMS:</w:t>
            </w:r>
            <w:r>
              <w:rPr>
                <w:rFonts w:hint="eastAsia"/>
                <w:szCs w:val="21"/>
              </w:rPr>
              <w:t>6.1</w:t>
            </w:r>
            <w:r>
              <w:rPr>
                <w:rFonts w:hint="eastAsia"/>
                <w:szCs w:val="21"/>
                <w:lang w:val="en-US" w:eastAsia="zh-CN"/>
              </w:rPr>
              <w:t>.2/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8.1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szCs w:val="21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szCs w:val="21"/>
              </w:rPr>
              <w:t>E6.1.2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手册第6.1.2条款、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Cs w:val="21"/>
              </w:rPr>
              <w:t>环境因素识别、评价与更新程序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9"/>
              <w:gridCol w:w="2590"/>
              <w:gridCol w:w="2600"/>
              <w:gridCol w:w="19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59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2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  <w:tc>
                <w:tcPr>
                  <w:tcW w:w="192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5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szCs w:val="24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管理方案/应急预案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客户服务部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固体废弃物排放</w:t>
                  </w:r>
                </w:p>
              </w:tc>
              <w:tc>
                <w:tcPr>
                  <w:tcW w:w="25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由学校管理处统一处理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客户服务部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59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26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  <w:color w:val="0B0FB5"/>
                <w:lang w:val="en-US" w:eastAsia="zh-CN"/>
              </w:rPr>
            </w:pPr>
            <w:r>
              <w:rPr>
                <w:rFonts w:hint="eastAsia"/>
                <w:color w:val="0B0FB5"/>
                <w:lang w:val="en-US" w:eastAsia="zh-CN"/>
              </w:rPr>
              <w:t>补充现场确认：E审核内容与远程审核基本一致。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szCs w:val="21"/>
              </w:rPr>
              <w:t>E6.2 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如：手册第6.2条款、《目标分解</w:t>
            </w:r>
            <w:r>
              <w:rPr>
                <w:rFonts w:hint="eastAsia"/>
                <w:lang w:val="en-US" w:eastAsia="zh-CN"/>
              </w:rPr>
              <w:t>及考核</w:t>
            </w:r>
            <w:r>
              <w:rPr>
                <w:rFonts w:hint="eastAsia"/>
              </w:rPr>
              <w:t>表》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9"/>
              <w:gridCol w:w="1640"/>
              <w:gridCol w:w="1580"/>
              <w:gridCol w:w="23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环境目标</w:t>
                  </w:r>
                </w:p>
              </w:tc>
              <w:tc>
                <w:tcPr>
                  <w:tcW w:w="164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环境控制参数</w:t>
                  </w:r>
                </w:p>
              </w:tc>
              <w:tc>
                <w:tcPr>
                  <w:tcW w:w="158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目标实际完成</w:t>
                  </w:r>
                </w:p>
                <w:p>
                  <w:pPr>
                    <w:pStyle w:val="2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2020-09~2021-02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固体废弃物分类收集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r>
                    <w:t>100%</w:t>
                  </w:r>
                </w:p>
              </w:tc>
              <w:tc>
                <w:tcPr>
                  <w:tcW w:w="1580" w:type="dxa"/>
                  <w:shd w:val="clear" w:color="auto" w:fill="auto"/>
                  <w:vAlign w:val="center"/>
                </w:tcPr>
                <w:p>
                  <w:pPr>
                    <w:rPr>
                      <w:lang w:val="en-GB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客户服务部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已</w:t>
                  </w:r>
                  <w:r>
                    <w:rPr>
                      <w:lang w:val="en-GB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火灾事故发生率</w:t>
                  </w:r>
                </w:p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580" w:type="dxa"/>
                  <w:shd w:val="clear" w:color="auto" w:fill="auto"/>
                  <w:vAlign w:val="center"/>
                </w:tcPr>
                <w:p>
                  <w:r>
                    <w:rPr>
                      <w:rFonts w:hint="eastAsia"/>
                      <w:lang w:val="en-US" w:eastAsia="zh-CN"/>
                    </w:rPr>
                    <w:t>客户服务部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GB"/>
                    </w:rPr>
                    <w:t>已</w:t>
                  </w:r>
                  <w:r>
                    <w:rPr>
                      <w:lang w:val="en-GB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29" w:type="dxa"/>
                  <w:shd w:val="clear" w:color="auto" w:fill="auto"/>
                </w:tcPr>
                <w:p/>
              </w:tc>
              <w:tc>
                <w:tcPr>
                  <w:tcW w:w="1640" w:type="dxa"/>
                  <w:shd w:val="clear" w:color="auto" w:fill="auto"/>
                  <w:vAlign w:val="center"/>
                </w:tcPr>
                <w:p/>
              </w:tc>
              <w:tc>
                <w:tcPr>
                  <w:tcW w:w="1580" w:type="dxa"/>
                  <w:shd w:val="clear" w:color="auto" w:fill="auto"/>
                  <w:vAlign w:val="center"/>
                </w:tcPr>
                <w:p/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/>
          <w:p>
            <w:r>
              <w:rPr/>
              <w:sym w:font="Wingdings" w:char="00FE"/>
            </w:r>
            <w:r>
              <w:rPr>
                <w:rFonts w:hint="eastAsia"/>
              </w:rPr>
              <w:t>目标已实现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目标没有实现的，在内部及时进行原因分析并采取了改进措施。</w:t>
            </w:r>
          </w:p>
          <w:p>
            <w:pPr>
              <w:pStyle w:val="2"/>
              <w:rPr>
                <w:rFonts w:hint="eastAsia"/>
                <w:color w:val="0B0FB5"/>
                <w:lang w:val="en-US" w:eastAsia="zh-CN"/>
              </w:rPr>
            </w:pPr>
            <w:r>
              <w:rPr>
                <w:rFonts w:hint="eastAsia"/>
                <w:color w:val="0B0FB5"/>
                <w:lang w:val="en-US" w:eastAsia="zh-CN"/>
              </w:rPr>
              <w:t>补充现场确认：E审核内容与远程审核基本一致。</w:t>
            </w:r>
          </w:p>
          <w:p>
            <w:pPr>
              <w:pStyle w:val="2"/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运行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E8.1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</w:t>
            </w:r>
            <w:r>
              <w:rPr/>
              <w:sym w:font="Wingdings" w:char="00FE"/>
            </w:r>
            <w:r>
              <w:rPr>
                <w:rFonts w:hint="eastAsia"/>
                <w:lang w:val="en-US" w:eastAsia="zh-CN"/>
              </w:rPr>
              <w:t>手册8.1条款、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《服务过程控制程序》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本部门目前进行固体废弃物的性质：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可回收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一般生活垃圾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试验废弃物（废液、固废等）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废墨盒，晒鼓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可回收垃圾的处置：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自用为原材料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销售给废品回收方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废墨盒，晒鼓：由相应供方回收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一般垃圾的处置：生活垃圾由学校管理处统一处理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■用电：照明、空调、设备运行——人走关灯、断电、营业温度适宜（冬季≤23℃，夏季冬季≥25℃）；</w:t>
            </w:r>
          </w:p>
          <w:p>
            <w:r>
              <w:rPr>
                <w:rFonts w:hint="eastAsia"/>
              </w:rPr>
              <w:t>■用水：不跑冒滴漏，随手关水龙头；</w:t>
            </w:r>
          </w:p>
          <w:p>
            <w:r>
              <w:rPr>
                <w:rFonts w:hint="eastAsia"/>
              </w:rPr>
              <w:t>■消防：有消防栓、灭火器（干粉）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■特种设备的使用：不使用</w:t>
            </w:r>
          </w:p>
          <w:p>
            <w:pPr>
              <w:pStyle w:val="2"/>
              <w:rPr>
                <w:rFonts w:hint="eastAsia"/>
                <w:color w:val="0B0FB5"/>
                <w:lang w:val="en-US" w:eastAsia="zh-CN"/>
              </w:rPr>
            </w:pPr>
            <w:r>
              <w:rPr>
                <w:rFonts w:hint="eastAsia"/>
                <w:color w:val="0B0FB5"/>
                <w:lang w:val="en-US" w:eastAsia="zh-CN"/>
              </w:rPr>
              <w:t>补充现场确认：E审核内容与远程审核基本一致。</w:t>
            </w:r>
          </w:p>
          <w:p>
            <w:pPr>
              <w:pStyle w:val="2"/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如：《应急准备和响应控制程序》、《应急预案》、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《安全事故应急救援预案》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本部门是否发生环境方面的应急的情况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未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已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本部门是否发生环境方面的应急演练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参加公司组织的应急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本部门组织的专项应急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0"/>
              <w:gridCol w:w="2730"/>
              <w:gridCol w:w="188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32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73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188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0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消防应急逃生预案演练</w:t>
                  </w: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vertAlign w:val="baseline"/>
                      <w:lang w:val="en-US" w:eastAsia="zh-CN"/>
                    </w:rPr>
                    <w:t>2021-01-20</w:t>
                  </w:r>
                </w:p>
              </w:tc>
              <w:tc>
                <w:tcPr>
                  <w:tcW w:w="2730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188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消防演练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0" w:type="dxa"/>
                </w:tcPr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27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188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0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188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0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188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pStyle w:val="2"/>
              <w:rPr>
                <w:rFonts w:hint="eastAsia"/>
                <w:color w:val="0B0FB5"/>
                <w:lang w:val="en-US" w:eastAsia="zh-CN"/>
              </w:rPr>
            </w:pPr>
            <w:r>
              <w:rPr>
                <w:rFonts w:hint="eastAsia"/>
                <w:color w:val="0B0FB5"/>
                <w:lang w:val="en-US" w:eastAsia="zh-CN"/>
              </w:rPr>
              <w:t>补充现场确认：E审核内容与远程审核基本一致。</w:t>
            </w:r>
          </w:p>
          <w:p>
            <w:bookmarkStart w:id="0" w:name="_GoBack"/>
            <w:bookmarkEnd w:id="0"/>
          </w:p>
        </w:tc>
        <w:tc>
          <w:tcPr>
            <w:tcW w:w="1585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26F61"/>
    <w:rsid w:val="00337922"/>
    <w:rsid w:val="00340867"/>
    <w:rsid w:val="00380837"/>
    <w:rsid w:val="003A198A"/>
    <w:rsid w:val="00404ADB"/>
    <w:rsid w:val="00410914"/>
    <w:rsid w:val="004177C7"/>
    <w:rsid w:val="00433244"/>
    <w:rsid w:val="0048201E"/>
    <w:rsid w:val="004D60C4"/>
    <w:rsid w:val="00506386"/>
    <w:rsid w:val="00532C4F"/>
    <w:rsid w:val="00536930"/>
    <w:rsid w:val="00564E53"/>
    <w:rsid w:val="005821BF"/>
    <w:rsid w:val="005C2F4C"/>
    <w:rsid w:val="005D5659"/>
    <w:rsid w:val="00600C20"/>
    <w:rsid w:val="00612927"/>
    <w:rsid w:val="00644FE2"/>
    <w:rsid w:val="0067640C"/>
    <w:rsid w:val="006E678B"/>
    <w:rsid w:val="006E7B1D"/>
    <w:rsid w:val="006F2A8D"/>
    <w:rsid w:val="007757F3"/>
    <w:rsid w:val="007A7224"/>
    <w:rsid w:val="007C1B48"/>
    <w:rsid w:val="007E3B15"/>
    <w:rsid w:val="007E6AEB"/>
    <w:rsid w:val="008973EE"/>
    <w:rsid w:val="008C6AC7"/>
    <w:rsid w:val="008D2CA4"/>
    <w:rsid w:val="00971600"/>
    <w:rsid w:val="009973B4"/>
    <w:rsid w:val="009C28C1"/>
    <w:rsid w:val="009F5EE2"/>
    <w:rsid w:val="009F7EED"/>
    <w:rsid w:val="00A80636"/>
    <w:rsid w:val="00AF0AAB"/>
    <w:rsid w:val="00BA7705"/>
    <w:rsid w:val="00BF597E"/>
    <w:rsid w:val="00C51A36"/>
    <w:rsid w:val="00C55228"/>
    <w:rsid w:val="00C63768"/>
    <w:rsid w:val="00CE315A"/>
    <w:rsid w:val="00D06F59"/>
    <w:rsid w:val="00D8388C"/>
    <w:rsid w:val="00D92E7A"/>
    <w:rsid w:val="00DF553C"/>
    <w:rsid w:val="00E6073A"/>
    <w:rsid w:val="00E6224C"/>
    <w:rsid w:val="00EB0164"/>
    <w:rsid w:val="00ED0F62"/>
    <w:rsid w:val="00FD5D41"/>
    <w:rsid w:val="01260C71"/>
    <w:rsid w:val="0148246F"/>
    <w:rsid w:val="01A95805"/>
    <w:rsid w:val="01E27364"/>
    <w:rsid w:val="02203F02"/>
    <w:rsid w:val="0228580F"/>
    <w:rsid w:val="026A697D"/>
    <w:rsid w:val="028120F9"/>
    <w:rsid w:val="02A15FCA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74C83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9765A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1350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BD305E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505D59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D86461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1CE7C18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93649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42263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785CB2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854B99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009B2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770C"/>
    <w:rsid w:val="5AD64AF2"/>
    <w:rsid w:val="5AF377C8"/>
    <w:rsid w:val="5B0449BC"/>
    <w:rsid w:val="5B513157"/>
    <w:rsid w:val="5B517209"/>
    <w:rsid w:val="5B544EB3"/>
    <w:rsid w:val="5B6A33DD"/>
    <w:rsid w:val="5B7C5AEB"/>
    <w:rsid w:val="5B7D5AC3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67B45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31299F"/>
    <w:rsid w:val="693A5811"/>
    <w:rsid w:val="695B5920"/>
    <w:rsid w:val="69B35A0D"/>
    <w:rsid w:val="69CC607C"/>
    <w:rsid w:val="69D047F9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135E27"/>
    <w:rsid w:val="76274FDD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622758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D264AF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345</Words>
  <Characters>1973</Characters>
  <Lines>16</Lines>
  <Paragraphs>4</Paragraphs>
  <TotalTime>0</TotalTime>
  <ScaleCrop>false</ScaleCrop>
  <LinksUpToDate>false</LinksUpToDate>
  <CharactersWithSpaces>2314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2021-04-28T02:42:04Z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32FB5DA442104A25A1DA4CE11A046D90</vt:lpwstr>
  </property>
</Properties>
</file>