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Times New Roman" w:hAnsi="Times New Roman" w:cs="Times New Roman"/>
          <w:b/>
          <w:bCs/>
          <w:sz w:val="32"/>
          <w:szCs w:val="32"/>
        </w:rPr>
      </w:pPr>
      <w:r>
        <w:rPr>
          <w:rStyle w:val="8"/>
          <w:rFonts w:hint="eastAsia"/>
          <w:color w:val="000000"/>
        </w:rPr>
        <w:t xml:space="preserve">                                         </w:t>
      </w:r>
    </w:p>
    <w:p>
      <w:pPr>
        <w:spacing w:afterLines="1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柴油凝点测量过程不确定度评定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依据GB</w:t>
      </w:r>
      <w:r>
        <w:rPr>
          <w:rFonts w:hint="eastAsia"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T 510</w:t>
      </w:r>
      <w:r>
        <w:rPr>
          <w:rFonts w:hint="eastAsia" w:ascii="Times New Roman" w:hAnsi="Times New Roman" w:cs="Times New Roman"/>
          <w:sz w:val="28"/>
          <w:szCs w:val="28"/>
        </w:rPr>
        <w:t>-2018</w:t>
      </w:r>
      <w:r>
        <w:rPr>
          <w:rFonts w:ascii="Times New Roman" w:hAnsi="Times New Roman" w:cs="Times New Roman"/>
          <w:sz w:val="28"/>
          <w:szCs w:val="28"/>
        </w:rPr>
        <w:t>《石油产品凝点测定法》，对柴油样品进行了凝点测定，并对测量结果进行了不确定度评定。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试验方法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将试样装入凝点试管至刻线处，安装好温度计，垂直放入水浴中，直至试样达到规定温度时取出，在室温下冷却至规定温度后，放入比预期凝点低(7～8)℃的冷浴中冷却，到达预期凝点时，将仪器倾斜45度保持1分钟，若某一温度使试样的液面停留不动而提高2℃又能使液面移动时，就取液面不动的温度作为试样的凝点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 建立数学模型</w:t>
      </w:r>
    </w:p>
    <w:p>
      <w:pPr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object>
          <v:shape id="_x0000_i1025" o:spt="75" type="#_x0000_t75" style="height:18.1pt;width:61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式中：T为凝点温度，℃；T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为温度计视值，℃；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238125" cy="161925"/>
            <wp:effectExtent l="0" t="0" r="0" b="762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>为温度计修正值，℃。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 不确定度的来源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不确定度来源主要有以下几个方面：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hint="eastAsia" w:ascii="Times New Roman" w:hAnsi="Times New Roman" w:cs="Times New Roman"/>
          <w:sz w:val="28"/>
          <w:szCs w:val="28"/>
        </w:rPr>
        <w:t>（1）</w:t>
      </w:r>
      <w:r>
        <w:rPr>
          <w:rFonts w:ascii="Times New Roman" w:hAnsi="Times New Roman" w:cs="Times New Roman"/>
          <w:sz w:val="28"/>
          <w:szCs w:val="28"/>
        </w:rPr>
        <w:t>重复性</w:t>
      </w:r>
      <w:r>
        <w:rPr>
          <w:rFonts w:hint="eastAsia" w:ascii="Times New Roman" w:hAnsi="Times New Roman" w:cs="Times New Roman"/>
          <w:sz w:val="28"/>
          <w:szCs w:val="28"/>
        </w:rPr>
        <w:t>测量引入</w:t>
      </w:r>
      <w:r>
        <w:rPr>
          <w:rFonts w:ascii="Times New Roman" w:hAnsi="Times New Roman" w:cs="Times New Roman"/>
          <w:sz w:val="28"/>
          <w:szCs w:val="28"/>
        </w:rPr>
        <w:t>的不确定度</w:t>
      </w:r>
      <w:r>
        <w:rPr>
          <w:rFonts w:hint="eastAsia" w:ascii="宋体" w:hAnsi="宋体" w:eastAsia="宋体" w:cs="Times New Roman"/>
          <w:sz w:val="28"/>
          <w:szCs w:val="28"/>
        </w:rPr>
        <w:t>u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，采用A类评定方法；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hint="eastAsia" w:ascii="Times New Roman" w:hAnsi="Times New Roman" w:cs="Times New Roman"/>
          <w:sz w:val="28"/>
          <w:szCs w:val="28"/>
        </w:rPr>
        <w:t>（2）温度计引入</w:t>
      </w:r>
      <w:r>
        <w:rPr>
          <w:rFonts w:ascii="Times New Roman" w:hAnsi="Times New Roman" w:cs="Times New Roman"/>
          <w:sz w:val="28"/>
          <w:szCs w:val="28"/>
        </w:rPr>
        <w:t>的不确定度</w:t>
      </w:r>
      <w:r>
        <w:rPr>
          <w:rFonts w:hint="eastAsia" w:ascii="Times New Roman" w:hAnsi="Times New Roman" w:cs="Times New Roman"/>
          <w:sz w:val="28"/>
          <w:szCs w:val="28"/>
        </w:rPr>
        <w:t>u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，采用B类评定方法。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不确定度</w:t>
      </w:r>
      <w:r>
        <w:rPr>
          <w:rFonts w:hint="eastAsia" w:ascii="Times New Roman" w:hAnsi="Times New Roman" w:cs="Times New Roman"/>
          <w:sz w:val="28"/>
          <w:szCs w:val="28"/>
        </w:rPr>
        <w:t>的确定</w:t>
      </w:r>
    </w:p>
    <w:p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hint="eastAsia"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 重复性</w:t>
      </w:r>
      <w:r>
        <w:rPr>
          <w:rFonts w:hint="eastAsia" w:ascii="Times New Roman" w:hAnsi="Times New Roman" w:cs="Times New Roman"/>
          <w:sz w:val="28"/>
          <w:szCs w:val="28"/>
        </w:rPr>
        <w:t>测量引入</w:t>
      </w:r>
      <w:r>
        <w:rPr>
          <w:rFonts w:ascii="Times New Roman" w:hAnsi="Times New Roman" w:cs="Times New Roman"/>
          <w:sz w:val="28"/>
          <w:szCs w:val="28"/>
        </w:rPr>
        <w:t>的不确定度</w:t>
      </w:r>
      <w:r>
        <w:rPr>
          <w:rFonts w:hint="eastAsia" w:ascii="Times New Roman" w:hAnsi="Times New Roman" w:cs="Times New Roman"/>
          <w:sz w:val="28"/>
          <w:szCs w:val="28"/>
        </w:rPr>
        <w:t>u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在重复性条件下，对同一试样从取样开始独立重复测量10次，测量结果见表l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表1 </w:t>
      </w:r>
      <w:r>
        <w:rPr>
          <w:rFonts w:hint="eastAsia"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次平行测定凝点</w:t>
      </w:r>
      <w:r>
        <w:rPr>
          <w:rFonts w:hint="eastAsia" w:ascii="Times New Roman" w:hAnsi="Times New Roman" w:cs="Times New Roman"/>
          <w:sz w:val="28"/>
          <w:szCs w:val="28"/>
        </w:rPr>
        <w:t>结果</w:t>
      </w:r>
      <w:r>
        <w:rPr>
          <w:rFonts w:ascii="Times New Roman" w:hAnsi="Times New Roman" w:cs="Times New Roman"/>
          <w:sz w:val="28"/>
          <w:szCs w:val="28"/>
        </w:rPr>
        <w:t>及平均值(℃ )</w:t>
      </w:r>
    </w:p>
    <w:tbl>
      <w:tblPr>
        <w:tblStyle w:val="6"/>
        <w:tblpPr w:leftFromText="180" w:rightFromText="180" w:vertAnchor="text" w:tblpXSpec="center" w:tblpY="177"/>
        <w:tblOverlap w:val="never"/>
        <w:tblW w:w="7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87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测定次数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1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2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3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4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5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6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8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10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87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</w:t>
            </w:r>
            <w:r>
              <w:rPr>
                <w:rFonts w:hint="eastAsia" w:ascii="Times New Roman" w:hAnsi="Times New Roman" w:cs="Times New Roman"/>
                <w:szCs w:val="21"/>
              </w:rPr>
              <w:t>结果  -3   -3    -3   -3    -2    -3    -3   -3    -2     -3     -2.8</w:t>
            </w:r>
          </w:p>
        </w:tc>
      </w:tr>
    </w:tbl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采用贝塞尔公式计算，求出单次测量的标准偏</w:t>
      </w:r>
      <w:r>
        <w:rPr>
          <w:rFonts w:hint="eastAsia" w:ascii="Times New Roman" w:hAnsi="Times New Roman" w:cs="Times New Roman"/>
          <w:sz w:val="28"/>
          <w:szCs w:val="28"/>
        </w:rPr>
        <w:t>差：</w:t>
      </w:r>
    </w:p>
    <w:p>
      <w:pPr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6" o:spt="75" type="#_x0000_t75" style="height:38.95pt;width:134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平均值的标准偏差为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</w:p>
    <w:p>
      <w:pPr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7" o:spt="75" type="#_x0000_t75" style="height:33.05pt;width:78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sz w:val="28"/>
          <w:szCs w:val="28"/>
        </w:rPr>
        <w:t>℃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重复</w:t>
      </w:r>
      <w:r>
        <w:rPr>
          <w:rFonts w:hint="eastAsia" w:ascii="Times New Roman" w:hAnsi="Times New Roman" w:cs="Times New Roman"/>
          <w:sz w:val="28"/>
          <w:szCs w:val="28"/>
        </w:rPr>
        <w:t>性测量引起</w:t>
      </w:r>
      <w:r>
        <w:rPr>
          <w:rFonts w:ascii="Times New Roman" w:hAnsi="Times New Roman" w:cs="Times New Roman"/>
          <w:sz w:val="28"/>
          <w:szCs w:val="28"/>
        </w:rPr>
        <w:t>的A类标准不确定度为：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19.15pt;width:69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sz w:val="28"/>
          <w:szCs w:val="28"/>
        </w:rPr>
        <w:t>℃</w:t>
      </w:r>
    </w:p>
    <w:p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hint="eastAsia" w:ascii="Times New Roman" w:hAnsi="Times New Roman" w:cs="Times New Roman"/>
          <w:sz w:val="28"/>
          <w:szCs w:val="28"/>
        </w:rPr>
        <w:t>4.2 温度计引入</w:t>
      </w:r>
      <w:r>
        <w:rPr>
          <w:rFonts w:ascii="Times New Roman" w:hAnsi="Times New Roman" w:cs="Times New Roman"/>
          <w:sz w:val="28"/>
          <w:szCs w:val="28"/>
        </w:rPr>
        <w:t>的不确定度</w:t>
      </w:r>
      <w:r>
        <w:rPr>
          <w:rFonts w:hint="eastAsia" w:ascii="Times New Roman" w:hAnsi="Times New Roman" w:cs="Times New Roman"/>
          <w:i/>
          <w:sz w:val="28"/>
          <w:szCs w:val="28"/>
        </w:rPr>
        <w:t>u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测量试验中所用的温度计的规格为-30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hint="eastAsia" w:ascii="Times New Roman" w:hAnsi="Times New Roman" w:cs="Times New Roman"/>
          <w:sz w:val="28"/>
          <w:szCs w:val="28"/>
        </w:rPr>
        <w:t>～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最小分度为1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示值误差</w:t>
      </w:r>
      <w:r>
        <w:rPr>
          <w:rFonts w:hint="eastAsia" w:ascii="Times New Roman" w:hAnsi="Times New Roman" w:eastAsia="宋体" w:cs="Times New Roman"/>
          <w:sz w:val="28"/>
          <w:szCs w:val="28"/>
        </w:rPr>
        <w:t>0.8</w:t>
      </w:r>
      <w:r>
        <w:rPr>
          <w:rFonts w:ascii="Times New Roman" w:hAnsi="Times New Roman" w:eastAsia="宋体" w:cs="Times New Roman"/>
          <w:sz w:val="28"/>
          <w:szCs w:val="28"/>
        </w:rPr>
        <w:t>℃。</w:t>
      </w:r>
      <w:r>
        <w:rPr>
          <w:rFonts w:hint="eastAsia" w:ascii="Times New Roman" w:hAnsi="Times New Roman" w:eastAsia="宋体" w:cs="Times New Roman"/>
          <w:sz w:val="28"/>
          <w:szCs w:val="28"/>
        </w:rPr>
        <w:t>按照均匀分布计算，由</w:t>
      </w:r>
      <w:r>
        <w:rPr>
          <w:rFonts w:hint="eastAsia" w:ascii="Times New Roman" w:hAnsi="Times New Roman" w:cs="Times New Roman"/>
          <w:sz w:val="28"/>
          <w:szCs w:val="28"/>
        </w:rPr>
        <w:t>温度计示值误差引入</w:t>
      </w:r>
      <w:r>
        <w:rPr>
          <w:rFonts w:ascii="Times New Roman" w:hAnsi="Times New Roman" w:cs="Times New Roman"/>
          <w:sz w:val="28"/>
          <w:szCs w:val="28"/>
        </w:rPr>
        <w:t>的不确定度</w:t>
      </w:r>
      <w:r>
        <w:rPr>
          <w:rFonts w:hint="eastAsia" w:ascii="Times New Roman" w:hAnsi="Times New Roman" w:cs="Times New Roman"/>
          <w:sz w:val="28"/>
          <w:szCs w:val="28"/>
        </w:rPr>
        <w:t>为：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3.05pt;width:76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  <w:sz w:val="28"/>
          <w:szCs w:val="28"/>
        </w:rPr>
        <w:t>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4.3 </w:t>
      </w:r>
      <w:r>
        <w:rPr>
          <w:rFonts w:ascii="Times New Roman" w:hAnsi="Times New Roman" w:eastAsia="宋体" w:cs="Times New Roman"/>
          <w:sz w:val="28"/>
          <w:szCs w:val="28"/>
        </w:rPr>
        <w:t>合成标准不确定度的计算</w:t>
      </w:r>
    </w:p>
    <w:p>
      <w:pPr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由上述各相对标准不确定度合成凝点的相对标准不确定度为</w:t>
      </w:r>
      <w:r>
        <w:rPr>
          <w:rFonts w:hint="eastAsia" w:ascii="Times New Roman" w:hAnsi="Times New Roman" w:eastAsia="宋体" w:cs="Times New Roman"/>
          <w:sz w:val="28"/>
          <w:szCs w:val="28"/>
        </w:rPr>
        <w:t>U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  <w:vertAlign w:val="subscript"/>
        </w:rPr>
        <w:t>u(T)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ind w:firstLine="560" w:firstLineChars="20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position w:val="-14"/>
          <w:sz w:val="28"/>
          <w:szCs w:val="28"/>
        </w:rPr>
        <w:object>
          <v:shape id="_x0000_i1030" o:spt="75" type="#_x0000_t75" style="height:24pt;width:208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4.4 </w:t>
      </w:r>
      <w:r>
        <w:rPr>
          <w:rFonts w:ascii="Times New Roman" w:hAnsi="Times New Roman" w:eastAsia="宋体" w:cs="Times New Roman"/>
          <w:sz w:val="28"/>
          <w:szCs w:val="28"/>
        </w:rPr>
        <w:t>扩展不确定度的计算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将合成标准不确定度乘以包含因子</w:t>
      </w:r>
      <w:r>
        <w:rPr>
          <w:rFonts w:hint="eastAsia" w:ascii="Times New Roman" w:hAnsi="Times New Roman" w:eastAsia="宋体" w:cs="Times New Roman"/>
          <w:sz w:val="28"/>
          <w:szCs w:val="28"/>
        </w:rPr>
        <w:t>k</w:t>
      </w:r>
      <w:r>
        <w:rPr>
          <w:rFonts w:ascii="Times New Roman" w:hAnsi="Times New Roman" w:eastAsia="宋体" w:cs="Times New Roman"/>
          <w:sz w:val="28"/>
          <w:szCs w:val="28"/>
        </w:rPr>
        <w:t>=2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得到扩展不确定度</w:t>
      </w:r>
      <w:r>
        <w:rPr>
          <w:rFonts w:hint="eastAsia" w:ascii="Times New Roman" w:hAnsi="Times New Roman" w:eastAsia="宋体" w:cs="Times New Roman"/>
          <w:sz w:val="28"/>
          <w:szCs w:val="28"/>
        </w:rPr>
        <w:t>u</w:t>
      </w:r>
    </w:p>
    <w:p>
      <w:pPr>
        <w:ind w:firstLine="560" w:firstLineChars="20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iCs/>
          <w:sz w:val="28"/>
          <w:szCs w:val="28"/>
        </w:rPr>
        <w:t>u</w:t>
      </w:r>
      <w:r>
        <w:rPr>
          <w:rFonts w:ascii="Times New Roman" w:hAnsi="Times New Roman" w:eastAsia="宋体" w:cs="Times New Roman"/>
          <w:sz w:val="28"/>
          <w:szCs w:val="28"/>
        </w:rPr>
        <w:t>=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</w:rPr>
        <w:t>k</w:t>
      </w:r>
      <w:r>
        <w:rPr>
          <w:rFonts w:ascii="Times New Roman" w:hAnsi="Times New Roman" w:eastAsia="宋体" w:cs="Times New Roman"/>
          <w:sz w:val="28"/>
          <w:szCs w:val="28"/>
        </w:rPr>
        <w:t xml:space="preserve">× </w:t>
      </w:r>
      <w:r>
        <w:rPr>
          <w:rFonts w:hint="eastAsia" w:ascii="Times New Roman" w:hAnsi="Times New Roman" w:eastAsia="宋体" w:cs="Times New Roman"/>
          <w:sz w:val="28"/>
          <w:szCs w:val="28"/>
        </w:rPr>
        <w:t>u</w:t>
      </w:r>
      <w:r>
        <w:rPr>
          <w:rFonts w:hint="eastAsia" w:ascii="Times New Roman" w:hAnsi="Times New Roman" w:eastAsia="宋体" w:cs="Times New Roman"/>
          <w:i/>
          <w:iCs/>
          <w:sz w:val="28"/>
          <w:szCs w:val="28"/>
          <w:vertAlign w:val="subscript"/>
        </w:rPr>
        <w:t>u(T)</w:t>
      </w:r>
      <w:r>
        <w:rPr>
          <w:rFonts w:ascii="Times New Roman" w:hAnsi="Times New Roman" w:eastAsia="宋体" w:cs="Times New Roman"/>
          <w:sz w:val="28"/>
          <w:szCs w:val="28"/>
        </w:rPr>
        <w:t>=2×0.</w:t>
      </w:r>
      <w:r>
        <w:rPr>
          <w:rFonts w:hint="eastAsia" w:ascii="Times New Roman" w:hAnsi="Times New Roman" w:eastAsia="宋体" w:cs="Times New Roman"/>
          <w:sz w:val="28"/>
          <w:szCs w:val="28"/>
        </w:rPr>
        <w:t>48</w:t>
      </w:r>
      <w:r>
        <w:rPr>
          <w:rFonts w:ascii="Times New Roman" w:hAnsi="Times New Roman" w:eastAsia="宋体" w:cs="Times New Roman"/>
          <w:sz w:val="28"/>
          <w:szCs w:val="28"/>
        </w:rPr>
        <w:t>=</w:t>
      </w:r>
      <w:r>
        <w:rPr>
          <w:rFonts w:hint="eastAsia" w:ascii="Times New Roman" w:hAnsi="Times New Roman" w:eastAsia="宋体" w:cs="Times New Roman"/>
          <w:sz w:val="28"/>
          <w:szCs w:val="28"/>
        </w:rPr>
        <w:t>0.96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</w:p>
    <w:p>
      <w:pPr>
        <w:ind w:firstLine="420" w:firstLineChars="20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368300</wp:posOffset>
            </wp:positionV>
            <wp:extent cx="861060" cy="423545"/>
            <wp:effectExtent l="0" t="0" r="5715" b="5080"/>
            <wp:wrapNone/>
            <wp:docPr id="5" name="图片 5" descr="2b9e613d21a098add2e0d59b5361fa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9e613d21a098add2e0d59b5361fa2 - 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评定人: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4E0"/>
    <w:rsid w:val="000A462A"/>
    <w:rsid w:val="000F6B7D"/>
    <w:rsid w:val="0016609E"/>
    <w:rsid w:val="001661B6"/>
    <w:rsid w:val="00172A27"/>
    <w:rsid w:val="001E397A"/>
    <w:rsid w:val="002C4511"/>
    <w:rsid w:val="00336D9C"/>
    <w:rsid w:val="00370AD8"/>
    <w:rsid w:val="00490F7A"/>
    <w:rsid w:val="004E73DB"/>
    <w:rsid w:val="006C30E2"/>
    <w:rsid w:val="00811F20"/>
    <w:rsid w:val="00884627"/>
    <w:rsid w:val="008D0E80"/>
    <w:rsid w:val="008F0543"/>
    <w:rsid w:val="00972F25"/>
    <w:rsid w:val="00A07037"/>
    <w:rsid w:val="00A35063"/>
    <w:rsid w:val="00AD6BC3"/>
    <w:rsid w:val="00B03315"/>
    <w:rsid w:val="00CB00DE"/>
    <w:rsid w:val="00CE79FB"/>
    <w:rsid w:val="00D04BE2"/>
    <w:rsid w:val="00D602B9"/>
    <w:rsid w:val="00D97771"/>
    <w:rsid w:val="00DD472A"/>
    <w:rsid w:val="00E17314"/>
    <w:rsid w:val="00E6508B"/>
    <w:rsid w:val="00EC4BC9"/>
    <w:rsid w:val="00F919D6"/>
    <w:rsid w:val="2A7847E9"/>
    <w:rsid w:val="2B2529A9"/>
    <w:rsid w:val="2F123CE3"/>
    <w:rsid w:val="361F5738"/>
    <w:rsid w:val="37F67A07"/>
    <w:rsid w:val="42260805"/>
    <w:rsid w:val="49BD2DED"/>
    <w:rsid w:val="4E1E5122"/>
    <w:rsid w:val="59917072"/>
    <w:rsid w:val="64757474"/>
    <w:rsid w:val="6F0C49BA"/>
    <w:rsid w:val="70A3216D"/>
    <w:rsid w:val="738608AF"/>
    <w:rsid w:val="791E4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867</Characters>
  <Lines>7</Lines>
  <Paragraphs>2</Paragraphs>
  <TotalTime>4</TotalTime>
  <ScaleCrop>false</ScaleCrop>
  <LinksUpToDate>false</LinksUpToDate>
  <CharactersWithSpaces>1017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win8</cp:lastModifiedBy>
  <dcterms:modified xsi:type="dcterms:W3CDTF">2021-04-23T05:37:25Z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