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bookmarkStart w:id="14" w:name="_GoBack"/>
      <w:bookmarkEnd w:id="14"/>
      <w:r>
        <w:rPr>
          <w:rFonts w:hint="eastAsia"/>
          <w:b/>
          <w:color w:val="000000" w:themeColor="text1"/>
          <w:sz w:val="21"/>
          <w:szCs w:val="21"/>
        </w:rPr>
        <w:t>合同编号:</w:t>
      </w:r>
      <w:bookmarkStart w:id="0" w:name="合同编号"/>
      <w:r>
        <w:rPr>
          <w:b/>
          <w:bCs/>
          <w:color w:val="000000" w:themeColor="text1"/>
          <w:sz w:val="21"/>
          <w:szCs w:val="21"/>
          <w:u w:val="single"/>
        </w:rPr>
        <w:t>0245-2021-Q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河北上晟管业有限公司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b/>
          <w:color w:val="000000" w:themeColor="text1"/>
          <w:sz w:val="22"/>
          <w:szCs w:val="22"/>
        </w:rPr>
        <w:t xml:space="preserve">Hebei </w:t>
      </w:r>
      <w:r>
        <w:rPr>
          <w:rFonts w:hint="eastAsia"/>
          <w:b/>
          <w:color w:val="000000" w:themeColor="text1"/>
          <w:sz w:val="22"/>
          <w:szCs w:val="22"/>
          <w:lang w:val="en-US" w:eastAsia="zh-CN"/>
        </w:rPr>
        <w:t>shangsheng</w:t>
      </w:r>
      <w:r>
        <w:rPr>
          <w:b/>
          <w:color w:val="000000" w:themeColor="text1"/>
          <w:sz w:val="22"/>
          <w:szCs w:val="22"/>
        </w:rPr>
        <w:t xml:space="preserve"> Tubular product Co., Ltd.</w:t>
      </w:r>
    </w:p>
    <w:p>
      <w:pPr>
        <w:pStyle w:val="2"/>
        <w:spacing w:line="400" w:lineRule="exact"/>
        <w:ind w:firstLine="632" w:firstLineChars="286"/>
        <w:rPr>
          <w:b/>
          <w:color w:val="000000" w:themeColor="text1"/>
          <w:sz w:val="22"/>
          <w:szCs w:val="22"/>
          <w:u w:val="single"/>
        </w:rPr>
      </w:pPr>
    </w:p>
    <w:p>
      <w:pPr>
        <w:pStyle w:val="2"/>
        <w:spacing w:line="400" w:lineRule="exact"/>
        <w:ind w:firstLine="0"/>
        <w:rPr>
          <w:rFonts w:hint="default" w:eastAsia="宋体"/>
          <w:b/>
          <w:color w:val="000000" w:themeColor="text1"/>
          <w:sz w:val="22"/>
          <w:szCs w:val="22"/>
          <w:u w:val="single"/>
          <w:lang w:val="en-US" w:eastAsia="zh-CN"/>
        </w:rPr>
      </w:pPr>
      <w:r>
        <w:rPr>
          <w:rFonts w:hint="eastAsia"/>
          <w:b/>
          <w:color w:val="000000" w:themeColor="text1"/>
          <w:sz w:val="22"/>
          <w:szCs w:val="22"/>
        </w:rPr>
        <w:t>组织注册地址(中文)：</w:t>
      </w:r>
      <w:bookmarkStart w:id="3" w:name="注册地址"/>
      <w:r>
        <w:rPr>
          <w:rFonts w:hint="eastAsia"/>
          <w:b/>
          <w:color w:val="000000" w:themeColor="text1"/>
          <w:sz w:val="22"/>
          <w:szCs w:val="22"/>
        </w:rPr>
        <w:t>河北省保定县博野县博野镇大营村村东</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r>
        <w:rPr>
          <w:rFonts w:hint="eastAsia" w:ascii="宋体" w:hAnsi="宋体"/>
          <w:b/>
          <w:color w:val="000000" w:themeColor="text1"/>
          <w:sz w:val="22"/>
          <w:szCs w:val="22"/>
          <w:lang w:val="en-US" w:eastAsia="zh-CN"/>
        </w:rPr>
        <w:t>071300</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b/>
          <w:color w:val="000000" w:themeColor="text1"/>
          <w:sz w:val="22"/>
          <w:szCs w:val="22"/>
        </w:rPr>
        <w:t>Daying village, Boye Town, Boye County, Baoding City, Hebei Province</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河北省保定县博野县博野镇大营村村东</w:t>
      </w:r>
      <w:bookmarkEnd w:id="4"/>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r>
        <w:rPr>
          <w:rFonts w:hint="eastAsia" w:ascii="宋体" w:hAnsi="宋体"/>
          <w:b/>
          <w:color w:val="000000" w:themeColor="text1"/>
          <w:sz w:val="22"/>
          <w:szCs w:val="22"/>
          <w:lang w:val="en-US" w:eastAsia="zh-CN"/>
        </w:rPr>
        <w:t>071300</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b/>
          <w:color w:val="000000" w:themeColor="text1"/>
          <w:sz w:val="22"/>
          <w:szCs w:val="22"/>
        </w:rPr>
        <w:t>Daying village, Boye Town, Boye County, Baoding City, Hebei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91130637MA0F06CR4Q</w:t>
      </w:r>
      <w:bookmarkEnd w:id="5"/>
      <w:r>
        <w:rPr>
          <w:rFonts w:hint="eastAsia"/>
          <w:b/>
          <w:color w:val="000000" w:themeColor="text1"/>
          <w:sz w:val="22"/>
          <w:szCs w:val="22"/>
        </w:rPr>
        <w:t>传真：</w:t>
      </w:r>
      <w:bookmarkStart w:id="6" w:name="联系人传真"/>
      <w:bookmarkEnd w:id="6"/>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15833871699</w:t>
      </w:r>
      <w:bookmarkEnd w:id="7"/>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8" w:name="法人"/>
      <w:r>
        <w:rPr>
          <w:rFonts w:hint="eastAsia"/>
          <w:b/>
          <w:color w:val="000000" w:themeColor="text1"/>
          <w:sz w:val="22"/>
          <w:szCs w:val="22"/>
        </w:rPr>
        <w:t>王国军</w:t>
      </w:r>
      <w:bookmarkEnd w:id="8"/>
      <w:r>
        <w:rPr>
          <w:rFonts w:hint="eastAsia"/>
          <w:b/>
          <w:color w:val="000000" w:themeColor="text1"/>
          <w:sz w:val="22"/>
          <w:szCs w:val="22"/>
        </w:rPr>
        <w:t>管代/联系人(职务)：</w:t>
      </w:r>
      <w:bookmarkStart w:id="9" w:name="管理者代表"/>
      <w:r>
        <w:rPr>
          <w:rFonts w:hint="eastAsia"/>
          <w:b/>
          <w:color w:val="000000" w:themeColor="text1"/>
          <w:sz w:val="22"/>
          <w:szCs w:val="22"/>
        </w:rPr>
        <w:t>彭兰</w:t>
      </w:r>
      <w:bookmarkEnd w:id="9"/>
      <w:r>
        <w:rPr>
          <w:rFonts w:hint="eastAsia"/>
          <w:b/>
          <w:color w:val="000000" w:themeColor="text1"/>
          <w:sz w:val="22"/>
          <w:szCs w:val="22"/>
        </w:rPr>
        <w:t>组织人数：</w:t>
      </w:r>
      <w:bookmarkStart w:id="10" w:name="企业人数"/>
      <w:r>
        <w:rPr>
          <w:b/>
          <w:color w:val="000000" w:themeColor="text1"/>
          <w:sz w:val="22"/>
          <w:szCs w:val="22"/>
        </w:rPr>
        <w:t>20</w:t>
      </w:r>
      <w:bookmarkEnd w:id="10"/>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审核依据"/>
      <w:r>
        <w:rPr>
          <w:rFonts w:hint="eastAsia" w:ascii="宋体" w:hAnsi="宋体"/>
          <w:b/>
          <w:color w:val="000000" w:themeColor="text1"/>
          <w:sz w:val="22"/>
          <w:szCs w:val="22"/>
          <w:u w:val="single"/>
        </w:rPr>
        <w:t>GB/T19001-2016/ISO9001:2015</w:t>
      </w:r>
      <w:bookmarkEnd w:id="11"/>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二阶段</w:t>
      </w:r>
      <w:bookmarkEnd w:id="12"/>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3" w:name="审核范围"/>
      <w:r>
        <w:rPr>
          <w:rFonts w:hint="eastAsia"/>
          <w:b/>
          <w:color w:val="000000" w:themeColor="text1"/>
          <w:sz w:val="22"/>
          <w:szCs w:val="22"/>
        </w:rPr>
        <w:t>塑料电缆保护管、塑料管材的生产</w:t>
      </w:r>
      <w:bookmarkEnd w:id="13"/>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QMS（英文：）：</w:t>
      </w:r>
      <w:r>
        <w:rPr>
          <w:b/>
          <w:color w:val="000000" w:themeColor="text1"/>
          <w:sz w:val="22"/>
          <w:szCs w:val="22"/>
        </w:rPr>
        <w:t>Production of electric cable protection Tubing and plastic Tubing</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sz w:val="22"/>
          <w:szCs w:val="22"/>
        </w:rPr>
        <w:drawing>
          <wp:anchor distT="0" distB="0" distL="114300" distR="114300" simplePos="0" relativeHeight="251659264" behindDoc="0" locked="0" layoutInCell="1" allowOverlap="1">
            <wp:simplePos x="0" y="0"/>
            <wp:positionH relativeFrom="column">
              <wp:posOffset>3865880</wp:posOffset>
            </wp:positionH>
            <wp:positionV relativeFrom="paragraph">
              <wp:posOffset>191135</wp:posOffset>
            </wp:positionV>
            <wp:extent cx="691515" cy="222885"/>
            <wp:effectExtent l="0" t="0" r="6985" b="57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691515" cy="222885"/>
                    </a:xfrm>
                    <a:prstGeom prst="rect">
                      <a:avLst/>
                    </a:prstGeom>
                    <a:noFill/>
                    <a:ln>
                      <a:noFill/>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2021.3.30</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233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AA30ABB"/>
    <w:rsid w:val="1BE87FCA"/>
    <w:rsid w:val="59F21683"/>
    <w:rsid w:val="7E9F53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2</TotalTime>
  <ScaleCrop>false</ScaleCrop>
  <LinksUpToDate>false</LinksUpToDate>
  <CharactersWithSpaces>987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2021-03-29T08:31:50Z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AE817BCCDF584A5F80A2E362C6AB127C</vt:lpwstr>
  </property>
</Properties>
</file>