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河北上晟管业有限公司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ind w:firstLine="2610" w:firstLineChars="1000"/>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河北上晟管业有限公司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河北省保定县博野县博野镇大营村村东</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063207</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河北省保定县博野县博野镇大营村村东</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063207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彭兰</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15833871699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王国军</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彭兰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塑料电缆保护管、塑料管材的生产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2020-07-05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1006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870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rFonts w:ascii="宋体" w:hAnsi="宋体"/>
                <w:b/>
                <w:color w:val="000000" w:themeColor="text1"/>
                <w:sz w:val="20"/>
                <w:szCs w:val="20"/>
              </w:rPr>
            </w:pPr>
            <w:r>
              <w:rPr>
                <w:rFonts w:ascii="宋体" w:hAnsi="宋体"/>
                <w:b/>
                <w:bCs/>
                <w:szCs w:val="21"/>
              </w:rPr>
              <w:t>管理层</w:t>
            </w:r>
          </w:p>
        </w:tc>
        <w:tc>
          <w:tcPr>
            <w:tcW w:w="8700" w:type="dxa"/>
          </w:tcPr>
          <w:p>
            <w:pPr>
              <w:jc w:val="center"/>
              <w:rPr>
                <w:rFonts w:ascii="宋体" w:hAnsi="宋体"/>
                <w:b/>
                <w:color w:val="000000" w:themeColor="text1"/>
                <w:spacing w:val="-20"/>
                <w:sz w:val="20"/>
                <w:szCs w:val="20"/>
                <w:u w:val="single"/>
              </w:rPr>
            </w:pPr>
            <w:r>
              <w:rPr>
                <w:rFonts w:ascii="宋体" w:hAnsi="宋体"/>
                <w:b/>
                <w:bCs/>
                <w:szCs w:val="21"/>
              </w:rPr>
              <w:t>4.1/4.2/4.3/4.4/5.1/5.2/5.3/6.1/6.2/6.3/7.1.1/9.1.1/9.2/9.3/</w:t>
            </w:r>
            <w:r>
              <w:rPr>
                <w:rFonts w:hint="eastAsia" w:ascii="宋体" w:hAnsi="宋体"/>
                <w:b/>
                <w:bCs/>
                <w:szCs w:val="21"/>
              </w:rPr>
              <w:t xml:space="preserve"> </w:t>
            </w:r>
            <w:r>
              <w:rPr>
                <w:rFonts w:ascii="宋体" w:hAnsi="宋体"/>
                <w:b/>
                <w:bCs/>
                <w:szCs w:val="21"/>
              </w:rPr>
              <w:t>10.1 /10.3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rFonts w:ascii="宋体" w:hAnsi="宋体"/>
                <w:b/>
                <w:bCs/>
                <w:szCs w:val="21"/>
              </w:rPr>
            </w:pPr>
            <w:r>
              <w:rPr>
                <w:rFonts w:hint="eastAsia" w:ascii="宋体" w:hAnsi="宋体"/>
                <w:b/>
                <w:bCs/>
                <w:szCs w:val="21"/>
              </w:rPr>
              <w:t>综合部</w:t>
            </w:r>
          </w:p>
        </w:tc>
        <w:tc>
          <w:tcPr>
            <w:tcW w:w="8700" w:type="dxa"/>
          </w:tcPr>
          <w:p>
            <w:pPr>
              <w:jc w:val="center"/>
              <w:rPr>
                <w:rFonts w:ascii="宋体" w:hAnsi="宋体"/>
                <w:b/>
                <w:color w:val="000000" w:themeColor="text1"/>
                <w:spacing w:val="-20"/>
                <w:sz w:val="20"/>
                <w:szCs w:val="20"/>
                <w:u w:val="single"/>
              </w:rPr>
            </w:pPr>
            <w:r>
              <w:rPr>
                <w:rFonts w:ascii="宋体" w:hAnsi="宋体"/>
                <w:b/>
                <w:bCs/>
                <w:szCs w:val="21"/>
              </w:rPr>
              <w:t>5.3/6.2/7.1.2/7.1.6/7.2/7.3/7.4/7.5/8.2/8.4/8.5.3/8.5.5/9.1.2/9.1.3/9.2/10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rFonts w:ascii="宋体" w:hAnsi="宋体"/>
                <w:b/>
                <w:color w:val="000000" w:themeColor="text1"/>
                <w:sz w:val="20"/>
                <w:szCs w:val="20"/>
              </w:rPr>
            </w:pPr>
            <w:r>
              <w:rPr>
                <w:rFonts w:ascii="宋体" w:hAnsi="宋体"/>
                <w:b/>
                <w:bCs/>
                <w:szCs w:val="21"/>
              </w:rPr>
              <w:t>生产技术部</w:t>
            </w:r>
          </w:p>
        </w:tc>
        <w:tc>
          <w:tcPr>
            <w:tcW w:w="8700" w:type="dxa"/>
          </w:tcPr>
          <w:p>
            <w:pPr>
              <w:jc w:val="center"/>
              <w:rPr>
                <w:rFonts w:ascii="宋体" w:hAnsi="宋体"/>
                <w:b/>
                <w:color w:val="000000" w:themeColor="text1"/>
                <w:spacing w:val="-20"/>
                <w:sz w:val="20"/>
                <w:szCs w:val="20"/>
                <w:u w:val="single"/>
              </w:rPr>
            </w:pPr>
            <w:r>
              <w:rPr>
                <w:rFonts w:ascii="宋体" w:hAnsi="宋体"/>
                <w:b/>
                <w:bCs/>
                <w:szCs w:val="21"/>
              </w:rPr>
              <w:t>5.3/6.2/7.1.3/7.1.4/</w:t>
            </w:r>
            <w:r>
              <w:rPr>
                <w:rFonts w:hint="eastAsia" w:ascii="宋体" w:hAnsi="宋体"/>
                <w:b/>
                <w:bCs/>
                <w:szCs w:val="21"/>
              </w:rPr>
              <w:t>7.1.5/</w:t>
            </w:r>
            <w:r>
              <w:rPr>
                <w:rFonts w:ascii="宋体" w:hAnsi="宋体"/>
                <w:b/>
                <w:bCs/>
                <w:szCs w:val="21"/>
              </w:rPr>
              <w:t>8.1/8.3</w:t>
            </w:r>
            <w:r>
              <w:rPr>
                <w:rFonts w:hint="eastAsia" w:ascii="宋体" w:hAnsi="宋体"/>
                <w:b/>
                <w:bCs/>
                <w:szCs w:val="21"/>
              </w:rPr>
              <w:t>/</w:t>
            </w:r>
            <w:r>
              <w:rPr>
                <w:rFonts w:ascii="宋体" w:hAnsi="宋体"/>
                <w:b/>
                <w:bCs/>
                <w:szCs w:val="21"/>
              </w:rPr>
              <w:t>8.5.1/8.5.2/8.5.4/</w:t>
            </w:r>
            <w:r>
              <w:rPr>
                <w:rFonts w:hint="eastAsia" w:ascii="宋体" w:hAnsi="宋体"/>
                <w:b/>
                <w:bCs/>
                <w:szCs w:val="21"/>
              </w:rPr>
              <w:t>8.5.6/8.6/8.7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rFonts w:ascii="宋体" w:hAnsi="宋体"/>
                <w:b/>
                <w:color w:val="000000" w:themeColor="text1"/>
                <w:sz w:val="20"/>
                <w:szCs w:val="20"/>
              </w:rPr>
            </w:pPr>
          </w:p>
        </w:tc>
        <w:tc>
          <w:tcPr>
            <w:tcW w:w="8700"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rPr>
                <w:rFonts w:ascii="宋体" w:hAnsi="宋体"/>
                <w:b/>
                <w:color w:val="000000" w:themeColor="text1"/>
                <w:szCs w:val="21"/>
              </w:rPr>
            </w:pPr>
          </w:p>
        </w:tc>
        <w:tc>
          <w:tcPr>
            <w:tcW w:w="8700" w:type="dxa"/>
          </w:tcPr>
          <w:p>
            <w:pPr>
              <w:rPr>
                <w:rFonts w:ascii="宋体" w:hAnsi="宋体"/>
                <w:b/>
                <w:color w:val="000000" w:themeColor="text1"/>
                <w:spacing w:val="-20"/>
                <w:szCs w:val="21"/>
                <w:u w:val="single"/>
              </w:rPr>
            </w:pPr>
          </w:p>
        </w:tc>
      </w:tr>
    </w:tbl>
    <w:p>
      <w:pPr>
        <w:spacing w:line="360" w:lineRule="auto"/>
        <w:ind w:left="-137" w:leftChars="-337" w:hanging="571" w:hangingChars="271"/>
        <w:rPr>
          <w:rFonts w:ascii="宋体" w:hAnsi="宋体"/>
          <w:b/>
          <w:color w:val="000000" w:themeColor="text1"/>
          <w:szCs w:val="21"/>
        </w:rPr>
      </w:pPr>
    </w:p>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31"/>
        <w:gridCol w:w="818"/>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31"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18" w:type="dxa"/>
          </w:tcPr>
          <w:p>
            <w:pPr>
              <w:rPr>
                <w:b/>
                <w:color w:val="000000" w:themeColor="text1"/>
                <w:sz w:val="20"/>
                <w:szCs w:val="20"/>
              </w:rPr>
            </w:pPr>
            <w:r>
              <w:rPr>
                <w:rFonts w:hint="eastAsia"/>
                <w:b/>
                <w:color w:val="000000" w:themeColor="text1"/>
                <w:sz w:val="20"/>
                <w:szCs w:val="20"/>
              </w:rPr>
              <w:t>规格</w:t>
            </w:r>
          </w:p>
        </w:tc>
        <w:tc>
          <w:tcPr>
            <w:tcW w:w="595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rPr>
              <w:t>电缆保护管</w:t>
            </w:r>
            <w:r>
              <w:t>、塑料管材</w:t>
            </w:r>
            <w:r>
              <w:rPr>
                <w:rFonts w:hint="eastAsia"/>
              </w:rPr>
              <w:t>的生产</w:t>
            </w:r>
          </w:p>
        </w:tc>
        <w:tc>
          <w:tcPr>
            <w:tcW w:w="1131"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818"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5956" w:type="dxa"/>
            <w:vMerge w:val="restart"/>
          </w:tcPr>
          <w:p>
            <w:pPr>
              <w:ind w:firstLine="105" w:firstLineChars="50"/>
              <w:rPr>
                <w:rFonts w:hint="eastAsia" w:ascii="楷体" w:hAnsi="楷体" w:eastAsia="楷体" w:cs="楷体"/>
                <w:sz w:val="21"/>
                <w:szCs w:val="21"/>
              </w:rPr>
            </w:pPr>
            <w:r>
              <w:rPr>
                <w:rFonts w:hint="eastAsia" w:ascii="楷体" w:hAnsi="楷体" w:eastAsia="楷体" w:cs="楷体"/>
                <w:sz w:val="21"/>
                <w:szCs w:val="21"/>
              </w:rPr>
              <w:t>GB/T 13663</w:t>
            </w:r>
            <w:r>
              <w:rPr>
                <w:rFonts w:hint="eastAsia" w:ascii="楷体" w:hAnsi="楷体" w:eastAsia="楷体" w:cs="楷体"/>
                <w:sz w:val="21"/>
                <w:szCs w:val="21"/>
              </w:rPr>
              <w:tab/>
            </w:r>
            <w:r>
              <w:rPr>
                <w:rFonts w:hint="eastAsia" w:ascii="楷体" w:hAnsi="楷体" w:eastAsia="楷体" w:cs="楷体"/>
                <w:sz w:val="21"/>
                <w:szCs w:val="21"/>
              </w:rPr>
              <w:t>给水用聚乙烯（PE）管材</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20041.1</w:t>
            </w:r>
            <w:r>
              <w:rPr>
                <w:rFonts w:hint="eastAsia" w:ascii="楷体" w:hAnsi="楷体" w:eastAsia="楷体" w:cs="楷体"/>
                <w:sz w:val="21"/>
                <w:szCs w:val="21"/>
              </w:rPr>
              <w:tab/>
            </w:r>
            <w:r>
              <w:rPr>
                <w:rFonts w:hint="eastAsia" w:ascii="楷体" w:hAnsi="楷体" w:eastAsia="楷体" w:cs="楷体"/>
                <w:sz w:val="21"/>
                <w:szCs w:val="21"/>
              </w:rPr>
              <w:t>电缆管理用导管系统  第1部分：通用要求</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9647</w:t>
            </w:r>
            <w:r>
              <w:rPr>
                <w:rFonts w:hint="eastAsia" w:ascii="楷体" w:hAnsi="楷体" w:eastAsia="楷体" w:cs="楷体"/>
                <w:sz w:val="21"/>
                <w:szCs w:val="21"/>
              </w:rPr>
              <w:tab/>
            </w:r>
            <w:r>
              <w:rPr>
                <w:rFonts w:hint="eastAsia" w:ascii="楷体" w:hAnsi="楷体" w:eastAsia="楷体" w:cs="楷体"/>
                <w:sz w:val="21"/>
                <w:szCs w:val="21"/>
              </w:rPr>
              <w:t>热塑性塑料管材环刚度的测定</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8802</w:t>
            </w:r>
            <w:r>
              <w:rPr>
                <w:rFonts w:hint="eastAsia" w:ascii="楷体" w:hAnsi="楷体" w:eastAsia="楷体" w:cs="楷体"/>
                <w:sz w:val="21"/>
                <w:szCs w:val="21"/>
              </w:rPr>
              <w:tab/>
            </w:r>
            <w:r>
              <w:rPr>
                <w:rFonts w:hint="eastAsia" w:ascii="楷体" w:hAnsi="楷体" w:eastAsia="楷体" w:cs="楷体"/>
                <w:sz w:val="21"/>
                <w:szCs w:val="21"/>
              </w:rPr>
              <w:t>热塑性塑料管材、管件维卡软化温度的测定</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1033.1</w:t>
            </w:r>
            <w:r>
              <w:rPr>
                <w:rFonts w:hint="eastAsia" w:ascii="楷体" w:hAnsi="楷体" w:eastAsia="楷体" w:cs="楷体"/>
                <w:sz w:val="21"/>
                <w:szCs w:val="21"/>
              </w:rPr>
              <w:tab/>
            </w:r>
            <w:r>
              <w:rPr>
                <w:rFonts w:hint="eastAsia" w:ascii="楷体" w:hAnsi="楷体" w:eastAsia="楷体" w:cs="楷体"/>
                <w:sz w:val="21"/>
                <w:szCs w:val="21"/>
              </w:rPr>
              <w:t>塑料 非泡沫塑料密度的测定 第1部分：浸渍法、液体比重瓶法和滴定法</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1633</w:t>
            </w:r>
            <w:r>
              <w:rPr>
                <w:rFonts w:hint="eastAsia" w:ascii="楷体" w:hAnsi="楷体" w:eastAsia="楷体" w:cs="楷体"/>
                <w:sz w:val="21"/>
                <w:szCs w:val="21"/>
              </w:rPr>
              <w:tab/>
            </w:r>
            <w:r>
              <w:rPr>
                <w:rFonts w:hint="eastAsia" w:ascii="楷体" w:hAnsi="楷体" w:eastAsia="楷体" w:cs="楷体"/>
                <w:sz w:val="21"/>
                <w:szCs w:val="21"/>
              </w:rPr>
              <w:t>热塑性塑料软化点(维卡)试验方法</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802.1</w:t>
            </w:r>
            <w:r>
              <w:rPr>
                <w:rFonts w:hint="eastAsia" w:ascii="楷体" w:hAnsi="楷体" w:eastAsia="楷体" w:cs="楷体"/>
                <w:sz w:val="21"/>
                <w:szCs w:val="21"/>
              </w:rPr>
              <w:tab/>
            </w:r>
            <w:r>
              <w:rPr>
                <w:rFonts w:hint="eastAsia" w:ascii="楷体" w:hAnsi="楷体" w:eastAsia="楷体" w:cs="楷体"/>
                <w:sz w:val="21"/>
                <w:szCs w:val="21"/>
              </w:rPr>
              <w:t>电力电缆用导管技术条件 第1部分：总则</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802.2</w:t>
            </w:r>
            <w:r>
              <w:rPr>
                <w:rFonts w:hint="eastAsia" w:ascii="楷体" w:hAnsi="楷体" w:eastAsia="楷体" w:cs="楷体"/>
                <w:sz w:val="21"/>
                <w:szCs w:val="21"/>
              </w:rPr>
              <w:tab/>
            </w:r>
            <w:r>
              <w:rPr>
                <w:rFonts w:hint="eastAsia" w:ascii="楷体" w:hAnsi="楷体" w:eastAsia="楷体" w:cs="楷体"/>
                <w:sz w:val="21"/>
                <w:szCs w:val="21"/>
              </w:rPr>
              <w:t>电力电缆用导管技术条件 第2部分：玻璃纤维增强塑料电缆导管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802.3</w:t>
            </w:r>
            <w:r>
              <w:rPr>
                <w:rFonts w:hint="eastAsia" w:ascii="楷体" w:hAnsi="楷体" w:eastAsia="楷体" w:cs="楷体"/>
                <w:sz w:val="21"/>
                <w:szCs w:val="21"/>
              </w:rPr>
              <w:tab/>
            </w:r>
            <w:r>
              <w:rPr>
                <w:rFonts w:hint="eastAsia" w:ascii="楷体" w:hAnsi="楷体" w:eastAsia="楷体" w:cs="楷体"/>
                <w:sz w:val="21"/>
                <w:szCs w:val="21"/>
              </w:rPr>
              <w:t>电力电缆用导管技术条件 第3部分：氯化聚氯乙烯及硬聚氯乙烯塑料电缆导管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802.4</w:t>
            </w:r>
            <w:r>
              <w:rPr>
                <w:rFonts w:hint="eastAsia" w:ascii="楷体" w:hAnsi="楷体" w:eastAsia="楷体" w:cs="楷体"/>
                <w:sz w:val="21"/>
                <w:szCs w:val="21"/>
              </w:rPr>
              <w:tab/>
            </w:r>
            <w:r>
              <w:rPr>
                <w:rFonts w:hint="eastAsia" w:ascii="楷体" w:hAnsi="楷体" w:eastAsia="楷体" w:cs="楷体"/>
                <w:sz w:val="21"/>
                <w:szCs w:val="21"/>
              </w:rPr>
              <w:t>电力电缆用导管技术条件 第4部分：氯化聚氯乙烯及硬聚氯乙烯塑料双壁波纹电缆导管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802.5</w:t>
            </w:r>
            <w:r>
              <w:rPr>
                <w:rFonts w:hint="eastAsia" w:ascii="楷体" w:hAnsi="楷体" w:eastAsia="楷体" w:cs="楷体"/>
                <w:sz w:val="21"/>
                <w:szCs w:val="21"/>
              </w:rPr>
              <w:tab/>
            </w:r>
            <w:r>
              <w:rPr>
                <w:rFonts w:hint="eastAsia" w:ascii="楷体" w:hAnsi="楷体" w:eastAsia="楷体" w:cs="楷体"/>
                <w:sz w:val="21"/>
                <w:szCs w:val="21"/>
              </w:rPr>
              <w:t>电力电缆用导管技术条件 第5部分：纤维水泥电缆导管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802.6</w:t>
            </w:r>
            <w:r>
              <w:rPr>
                <w:rFonts w:hint="eastAsia" w:ascii="楷体" w:hAnsi="楷体" w:eastAsia="楷体" w:cs="楷体"/>
                <w:sz w:val="21"/>
                <w:szCs w:val="21"/>
              </w:rPr>
              <w:tab/>
            </w:r>
            <w:r>
              <w:rPr>
                <w:rFonts w:hint="eastAsia" w:ascii="楷体" w:hAnsi="楷体" w:eastAsia="楷体" w:cs="楷体"/>
                <w:sz w:val="21"/>
                <w:szCs w:val="21"/>
              </w:rPr>
              <w:t>电力电缆用导管技术条件 第6部分：承插式混凝土预制电缆导管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802.7</w:t>
            </w:r>
            <w:r>
              <w:rPr>
                <w:rFonts w:hint="eastAsia" w:ascii="楷体" w:hAnsi="楷体" w:eastAsia="楷体" w:cs="楷体"/>
                <w:sz w:val="21"/>
                <w:szCs w:val="21"/>
              </w:rPr>
              <w:tab/>
            </w:r>
            <w:r>
              <w:rPr>
                <w:rFonts w:hint="eastAsia" w:ascii="楷体" w:hAnsi="楷体" w:eastAsia="楷体" w:cs="楷体"/>
                <w:sz w:val="21"/>
                <w:szCs w:val="21"/>
              </w:rPr>
              <w:t>电力电缆用导管技术条件 第7部分：非开挖用改性聚丙烯塑料电缆导管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802.8</w:t>
            </w:r>
            <w:r>
              <w:rPr>
                <w:rFonts w:hint="eastAsia" w:ascii="楷体" w:hAnsi="楷体" w:eastAsia="楷体" w:cs="楷体"/>
                <w:sz w:val="21"/>
                <w:szCs w:val="21"/>
              </w:rPr>
              <w:tab/>
            </w:r>
            <w:r>
              <w:rPr>
                <w:rFonts w:hint="eastAsia" w:ascii="楷体" w:hAnsi="楷体" w:eastAsia="楷体" w:cs="楷体"/>
                <w:sz w:val="21"/>
                <w:szCs w:val="21"/>
              </w:rPr>
              <w:t>电力电缆用导管技术条件 第8部分：埋地用改性聚丙烯塑料单壁波纹电缆导管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Q/GDW 11381</w:t>
            </w:r>
            <w:r>
              <w:rPr>
                <w:rFonts w:hint="eastAsia" w:ascii="楷体" w:hAnsi="楷体" w:eastAsia="楷体" w:cs="楷体"/>
                <w:sz w:val="21"/>
                <w:szCs w:val="21"/>
              </w:rPr>
              <w:tab/>
            </w:r>
            <w:r>
              <w:rPr>
                <w:rFonts w:hint="eastAsia" w:ascii="楷体" w:hAnsi="楷体" w:eastAsia="楷体" w:cs="楷体"/>
                <w:sz w:val="21"/>
                <w:szCs w:val="21"/>
              </w:rPr>
              <w:t>电缆保护管选型技术原则和检测技术规范</w:t>
            </w:r>
          </w:p>
          <w:p>
            <w:pPr>
              <w:ind w:firstLine="105" w:firstLineChars="50"/>
              <w:rPr>
                <w:b/>
                <w:color w:val="000000" w:themeColor="text1"/>
                <w:sz w:val="20"/>
                <w:szCs w:val="20"/>
              </w:rPr>
            </w:pPr>
            <w:r>
              <w:rPr>
                <w:rFonts w:hint="eastAsia" w:ascii="楷体" w:hAnsi="楷体" w:eastAsia="楷体" w:cs="楷体"/>
                <w:sz w:val="21"/>
                <w:szCs w:val="21"/>
              </w:rPr>
              <w:t>155083.2451</w:t>
            </w:r>
            <w:r>
              <w:rPr>
                <w:rFonts w:hint="eastAsia" w:ascii="楷体" w:hAnsi="楷体" w:eastAsia="楷体" w:cs="楷体"/>
                <w:sz w:val="21"/>
                <w:szCs w:val="21"/>
              </w:rPr>
              <w:tab/>
            </w:r>
            <w:r>
              <w:rPr>
                <w:rFonts w:hint="eastAsia" w:ascii="楷体" w:hAnsi="楷体" w:eastAsia="楷体" w:cs="楷体"/>
                <w:sz w:val="21"/>
                <w:szCs w:val="21"/>
              </w:rPr>
              <w:t>国家电网公司物资采购标准-电缆附件卷（第一批）、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t>塑料管材</w:t>
            </w:r>
            <w:r>
              <w:rPr>
                <w:rFonts w:hint="eastAsia"/>
              </w:rPr>
              <w:t>的生产</w:t>
            </w:r>
          </w:p>
        </w:tc>
        <w:tc>
          <w:tcPr>
            <w:tcW w:w="1131"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818"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5956" w:type="dxa"/>
            <w:vMerge w:val="continue"/>
            <w:tcBorders/>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131" w:type="dxa"/>
          </w:tcPr>
          <w:p>
            <w:pPr>
              <w:rPr>
                <w:b/>
                <w:color w:val="000000" w:themeColor="text1"/>
                <w:sz w:val="20"/>
                <w:szCs w:val="20"/>
              </w:rPr>
            </w:pPr>
          </w:p>
        </w:tc>
        <w:tc>
          <w:tcPr>
            <w:tcW w:w="818" w:type="dxa"/>
          </w:tcPr>
          <w:p>
            <w:pPr>
              <w:rPr>
                <w:b/>
                <w:color w:val="000000" w:themeColor="text1"/>
                <w:sz w:val="20"/>
                <w:szCs w:val="20"/>
              </w:rPr>
            </w:pPr>
          </w:p>
        </w:tc>
        <w:tc>
          <w:tcPr>
            <w:tcW w:w="5956"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131" w:type="dxa"/>
          </w:tcPr>
          <w:p>
            <w:pPr>
              <w:rPr>
                <w:b/>
                <w:color w:val="000000" w:themeColor="text1"/>
                <w:sz w:val="20"/>
                <w:szCs w:val="20"/>
              </w:rPr>
            </w:pPr>
          </w:p>
        </w:tc>
        <w:tc>
          <w:tcPr>
            <w:tcW w:w="818" w:type="dxa"/>
          </w:tcPr>
          <w:p>
            <w:pPr>
              <w:rPr>
                <w:b/>
                <w:color w:val="000000" w:themeColor="text1"/>
                <w:sz w:val="20"/>
                <w:szCs w:val="20"/>
              </w:rPr>
            </w:pPr>
          </w:p>
        </w:tc>
        <w:tc>
          <w:tcPr>
            <w:tcW w:w="5956"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cs="宋体" w:asciiTheme="minorEastAsia" w:hAnsiTheme="minorEastAsia" w:eastAsiaTheme="minorEastAsia"/>
                <w:kern w:val="0"/>
              </w:rPr>
            </w:pPr>
            <w:r>
              <w:rPr>
                <w:rFonts w:hint="eastAsia" w:asciiTheme="minorEastAsia" w:hAnsiTheme="minorEastAsia" w:eastAsiaTheme="minorEastAsia"/>
              </w:rPr>
              <w:sym w:font="Wingdings 2" w:char="F098"/>
            </w:r>
            <w:r>
              <w:rPr>
                <w:rFonts w:hint="eastAsia" w:asciiTheme="minorEastAsia" w:hAnsiTheme="minorEastAsia" w:eastAsiaTheme="minorEastAsia"/>
              </w:rPr>
              <w:t>企业通过监视和评审内外部信息：</w:t>
            </w:r>
          </w:p>
          <w:p>
            <w:r>
              <w:rPr>
                <w:rFonts w:hint="eastAsia"/>
              </w:rPr>
              <w:t>1、最高管理层定期对各职能部门收集的信息进行讨论研究确定</w:t>
            </w:r>
          </w:p>
          <w:p>
            <w:r>
              <w:rPr>
                <w:rFonts w:hint="eastAsia"/>
              </w:rPr>
              <w:t>2、对组织建立、实现目标及战略方向有影响的各种相关的内外部因素进行评审；内容包括：法律法规、行业动态、市场变化、产品前景、大环境及社会经济发展状况；企业文化、知识的累积、绩效的考核等内外部因素。</w:t>
            </w:r>
          </w:p>
          <w:p>
            <w:r>
              <w:rPr>
                <w:rFonts w:hint="eastAsia"/>
              </w:rPr>
              <w:t>3、目前主要识别出的外部环境有：行业市场的竞争、价格的竞争。</w:t>
            </w:r>
          </w:p>
          <w:p>
            <w:r>
              <w:rPr>
                <w:rFonts w:hint="eastAsia"/>
              </w:rPr>
              <w:t>4、促进内部环境的改善；⑴通过贯标强化企业管理的规范化、程序化；⑵加强内部管理，降低成本。</w:t>
            </w:r>
          </w:p>
          <w:p>
            <w:r>
              <w:rPr>
                <w:rFonts w:hint="eastAsia"/>
              </w:rPr>
              <w:t>5、企业内部优势：员工从事该行业多年。产品采购：均按照国家、行业标准要求执行。赢得了客户，赢得了市场。</w:t>
            </w:r>
          </w:p>
          <w:p>
            <w:pPr>
              <w:pStyle w:val="2"/>
            </w:pPr>
            <w:r>
              <w:rPr>
                <w:rFonts w:hint="eastAsia"/>
              </w:rPr>
              <w:t>6、由总经理组织召开公司内外部因素动态评审会议，对识别出的内外部环境因素进行监视和评审，并将识别出的相关内外部因素作为制定和调整方针、目标、管理评审的输入内容。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r>
              <w:rPr>
                <w:rFonts w:hint="eastAsia"/>
              </w:rPr>
              <w:sym w:font="Wingdings 2" w:char="F098"/>
            </w:r>
            <w:r>
              <w:rPr>
                <w:rFonts w:hint="eastAsia"/>
              </w:rPr>
              <w:t>公司确定了与质量管理体系有关的相关方包括</w:t>
            </w:r>
            <w:r>
              <w:rPr>
                <w:rFonts w:hint="eastAsia" w:ascii="宋体" w:hAnsi="宋体"/>
                <w:color w:val="000000"/>
                <w:kern w:val="0"/>
                <w:sz w:val="24"/>
              </w:rPr>
              <w:t>；</w:t>
            </w:r>
            <w:r>
              <w:rPr>
                <w:rFonts w:hint="eastAsia"/>
              </w:rPr>
              <w:t xml:space="preserve"> 直接客户（最终使用者以及直接客户）；供方：供应链中的供方及其他；员工（包括管理者）；政府部门；投资方；咨询单位,以及其他人员；</w:t>
            </w:r>
          </w:p>
          <w:p>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
              <w:rPr>
                <w:rFonts w:hint="eastAsia"/>
              </w:rPr>
              <w:sym w:font="Wingdings 2" w:char="F098"/>
            </w:r>
            <w:r>
              <w:rPr>
                <w:rFonts w:hint="eastAsia"/>
              </w:rPr>
              <w:t>公司通过以下行为满足相关方需求和期望：</w:t>
            </w:r>
          </w:p>
          <w:p>
            <w:r>
              <w:rPr>
                <w:rFonts w:hint="eastAsia"/>
              </w:rPr>
              <w:t>——关注顾客需求，通过持续改进增强用户满意；</w:t>
            </w:r>
          </w:p>
          <w:p>
            <w:r>
              <w:rPr>
                <w:rFonts w:hint="eastAsia"/>
              </w:rPr>
              <w:t>——持续改进管理体系过程，提升质量绩效。</w:t>
            </w:r>
          </w:p>
          <w:p>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pPr>
              <w:pStyle w:val="2"/>
              <w:numPr>
                <w:numId w:val="0"/>
              </w:numPr>
            </w:pPr>
            <w:r>
              <w:rPr/>
              <w:sym w:font="Wingdings 2" w:char="F098"/>
            </w:r>
            <w: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szCs w:val="21"/>
              </w:rPr>
            </w:pPr>
            <w:r>
              <w:rPr>
                <w:rFonts w:hint="eastAsia"/>
                <w:szCs w:val="21"/>
              </w:rPr>
              <w:sym w:font="Wingdings 2" w:char="F098"/>
            </w:r>
            <w:r>
              <w:rPr>
                <w:rFonts w:hint="eastAsia"/>
                <w:szCs w:val="21"/>
              </w:rPr>
              <w:t>质量方针：</w:t>
            </w:r>
            <w:r>
              <w:rPr>
                <w:szCs w:val="21"/>
              </w:rPr>
              <w:t>团结进取</w:t>
            </w:r>
            <w:r>
              <w:t>、</w:t>
            </w:r>
            <w:r>
              <w:rPr>
                <w:szCs w:val="21"/>
              </w:rPr>
              <w:t xml:space="preserve"> 求实创新</w:t>
            </w:r>
            <w:r>
              <w:t>、</w:t>
            </w:r>
            <w:r>
              <w:rPr>
                <w:szCs w:val="21"/>
              </w:rPr>
              <w:t>优质高效</w:t>
            </w:r>
            <w:r>
              <w:t>、</w:t>
            </w:r>
            <w:r>
              <w:rPr>
                <w:szCs w:val="21"/>
              </w:rPr>
              <w:t>诚信服务</w:t>
            </w:r>
          </w:p>
          <w:p>
            <w:pPr>
              <w:spacing w:line="240" w:lineRule="exact"/>
              <w:ind w:left="199" w:leftChars="95"/>
              <w:rPr>
                <w:b/>
                <w:color w:val="000000" w:themeColor="text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numId w:val="0"/>
              </w:numPr>
              <w:spacing w:line="240" w:lineRule="exact"/>
              <w:ind w:leftChars="0"/>
              <w:rPr>
                <w:rFonts w:hint="eastAsia"/>
              </w:rPr>
            </w:pPr>
            <w:r>
              <w:rPr>
                <w:rFonts w:hint="eastAsia"/>
                <w:lang w:val="en-US" w:eastAsia="zh-CN"/>
              </w:rPr>
              <w:t>4、</w:t>
            </w:r>
            <w:r>
              <w:rPr>
                <w:rFonts w:hint="eastAsia"/>
              </w:rPr>
              <w:t>风险识别与控制策划（QMS）</w:t>
            </w:r>
          </w:p>
          <w:p>
            <w:pPr>
              <w:rPr>
                <w:rFonts w:cs="宋体"/>
              </w:rPr>
            </w:pPr>
            <w:r>
              <w:rPr>
                <w:rFonts w:hint="eastAsia" w:cs="宋体"/>
              </w:rPr>
              <w:sym w:font="Wingdings 2" w:char="F098"/>
            </w:r>
            <w:r>
              <w:rPr>
                <w:rFonts w:hint="eastAsia" w:cs="宋体"/>
              </w:rPr>
              <w:t>查《</w:t>
            </w:r>
            <w:r>
              <w:rPr>
                <w:rFonts w:hint="eastAsia"/>
              </w:rPr>
              <w:t>环境风险分析控制程序</w:t>
            </w:r>
            <w:r>
              <w:rPr>
                <w:rFonts w:hint="eastAsia" w:cs="宋体"/>
              </w:rPr>
              <w:t>》规定风险的识别、分析、评价和控制的过程和方法，以保证风险管理的有效性，从而确保管理体系能够实现其期望的结果；增强有利影响；避免或减少不利影响；实现改进。</w:t>
            </w:r>
          </w:p>
          <w:p>
            <w:r>
              <w:rPr>
                <w:rFonts w:hint="eastAsia" w:cs="宋体"/>
              </w:rPr>
              <w:sym w:font="Wingdings 2" w:char="F098"/>
            </w:r>
            <w:r>
              <w:rPr>
                <w:rFonts w:hint="eastAsia" w:cs="宋体"/>
                <w:lang w:val="en-US" w:eastAsia="zh-CN"/>
              </w:rPr>
              <w:t>王</w:t>
            </w:r>
            <w:r>
              <w:rPr>
                <w:rFonts w:hint="eastAsia" w:cs="宋体"/>
              </w:rPr>
              <w:t>总</w:t>
            </w:r>
            <w:r>
              <w:rPr>
                <w:rFonts w:hint="eastAsia"/>
              </w:rPr>
              <w:t>介绍：在策划管理体系时，领导层考虑了公司运行标准所处的环境，包括上述4.1识别的内外部环境。手册里有对风险和机遇应对控制的要求。</w:t>
            </w:r>
          </w:p>
          <w:p>
            <w:pPr>
              <w:rPr>
                <w:rFonts w:cs="宋体"/>
              </w:rPr>
            </w:pPr>
            <w:r>
              <w:rPr>
                <w:rFonts w:hint="eastAsia" w:cs="宋体"/>
              </w:rPr>
              <w:sym w:font="Wingdings 2" w:char="F098"/>
            </w:r>
            <w:r>
              <w:rPr>
                <w:rFonts w:hint="eastAsia" w:cs="宋体"/>
              </w:rPr>
              <w:t>公司面临的风险和机遇主要是：</w:t>
            </w:r>
            <w:r>
              <w:rPr>
                <w:rFonts w:hint="eastAsia"/>
              </w:rPr>
              <w:t>公司产品机构调整，给公司带来潜在的客户</w:t>
            </w:r>
            <w:r>
              <w:rPr>
                <w:rFonts w:hint="eastAsia" w:cs="宋体"/>
              </w:rPr>
              <w:t>，疫情和政治因素导致的市场低迷，回款困难，原辅材料涨价，人工成本增加，客户要求提高，以及行业良莠不齐、不良竞争、成本增加等严重影响行业发展。</w:t>
            </w:r>
          </w:p>
          <w:p>
            <w:pPr>
              <w:rPr>
                <w:rFonts w:cs="宋体"/>
              </w:rPr>
            </w:pPr>
            <w:r>
              <w:rPr>
                <w:rFonts w:hint="eastAsia" w:cs="宋体"/>
              </w:rPr>
              <w:t>公司始终以公司尊崇“踏实、拼搏、责任”的企业精神，并以诚信、共赢、开创经营理念来回馈社会。</w:t>
            </w:r>
          </w:p>
          <w:p>
            <w:pPr>
              <w:rPr>
                <w:rFonts w:cs="宋体"/>
              </w:rPr>
            </w:pPr>
            <w:r>
              <w:rPr>
                <w:rFonts w:hint="eastAsia" w:cs="宋体"/>
              </w:rPr>
              <w:sym w:font="Wingdings 2" w:char="F098"/>
            </w:r>
            <w:r>
              <w:rPr>
                <w:rFonts w:hint="eastAsia" w:cs="宋体"/>
              </w:rPr>
              <w:t>王经理简单介绍了公司为了应对现阶段的风险和机遇所采取措施等，记录如下：</w:t>
            </w:r>
          </w:p>
          <w:p>
            <w:pPr>
              <w:rPr>
                <w:rFonts w:cs="宋体"/>
              </w:rPr>
            </w:pPr>
            <w:r>
              <w:rPr>
                <w:rFonts w:hint="eastAsia" w:cs="宋体"/>
              </w:rPr>
              <w:t>1、</w:t>
            </w:r>
            <w:r>
              <w:rPr>
                <w:rFonts w:hint="eastAsia"/>
              </w:rPr>
              <w:t>生技部加强与客户进行项目需求制定的沟通，统一双方的测试方法</w:t>
            </w:r>
            <w:r>
              <w:rPr>
                <w:rFonts w:hint="eastAsia" w:cs="宋体"/>
              </w:rPr>
              <w:t>；</w:t>
            </w:r>
          </w:p>
          <w:p>
            <w:pPr>
              <w:rPr>
                <w:rFonts w:cs="宋体"/>
              </w:rPr>
            </w:pPr>
            <w:r>
              <w:rPr>
                <w:rFonts w:hint="eastAsia" w:cs="宋体"/>
              </w:rPr>
              <w:t>2、</w:t>
            </w:r>
            <w:r>
              <w:rPr>
                <w:rFonts w:hint="eastAsia"/>
              </w:rPr>
              <w:t>综合部门加大客户交流沟通，及时处理客户的需求和意见</w:t>
            </w:r>
            <w:r>
              <w:rPr>
                <w:rFonts w:hint="eastAsia" w:cs="宋体"/>
              </w:rPr>
              <w:t>。</w:t>
            </w:r>
          </w:p>
          <w:p>
            <w:pPr>
              <w:ind w:left="105" w:hanging="105" w:hangingChars="50"/>
              <w:rPr>
                <w:rFonts w:cs="宋体"/>
              </w:rPr>
            </w:pPr>
            <w:r>
              <w:rPr>
                <w:rFonts w:hint="eastAsia" w:cs="宋体"/>
              </w:rPr>
              <w:sym w:font="Wingdings 2" w:char="F098"/>
            </w:r>
            <w:r>
              <w:rPr>
                <w:rFonts w:hint="eastAsia" w:cs="宋体"/>
              </w:rPr>
              <w:t>另外还考虑了，今年年初突发的新冠肺炎疫情，针对疫情制定了相应的管理措施，并投入了有效的人员和资金，制定有“疫情防控工作方案”对风险识别和采取的措施可应用在实际的体系运行中。</w:t>
            </w:r>
          </w:p>
          <w:p>
            <w:pPr>
              <w:pStyle w:val="2"/>
              <w:numPr>
                <w:numId w:val="0"/>
              </w:numPr>
              <w:ind w:leftChars="0"/>
            </w:pPr>
            <w:r>
              <w:rPr>
                <w:rFonts w:hint="eastAsia" w:cs="宋体"/>
              </w:rPr>
              <w:sym w:font="Wingdings 2" w:char="F098"/>
            </w:r>
            <w:r>
              <w:rPr>
                <w:rFonts w:hint="eastAsia" w:cs="宋体"/>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40" w:lineRule="exact"/>
              <w:ind w:left="201" w:hanging="201" w:hangingChars="100"/>
              <w:rPr>
                <w:rFonts w:ascii="宋体" w:hAnsi="宋体"/>
                <w:b/>
                <w:color w:val="000000"/>
                <w:sz w:val="20"/>
                <w:szCs w:val="20"/>
              </w:rPr>
            </w:pPr>
            <w:r>
              <w:rPr>
                <w:rFonts w:hint="eastAsia" w:ascii="宋体" w:hAnsi="宋体"/>
                <w:b/>
                <w:color w:val="000000" w:themeColor="text1"/>
                <w:sz w:val="20"/>
                <w:szCs w:val="20"/>
              </w:rPr>
              <w:t>质量管理体系过程有：</w:t>
            </w:r>
            <w:r>
              <w:rPr>
                <w:rFonts w:hint="eastAsia" w:ascii="宋体" w:hAnsi="宋体"/>
                <w:b/>
                <w:color w:val="000000"/>
                <w:sz w:val="20"/>
                <w:szCs w:val="20"/>
              </w:rPr>
              <w:t>生产和服务提供过程；产品和服务的放行；销售过程；外部提供产品、服务和过程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u w:val="single"/>
              </w:rPr>
              <w:t>配料、挤出、真空定径</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挤出</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无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ascii="楷体" w:hAnsi="楷体" w:eastAsia="楷体" w:cs="楷体"/>
                <w:sz w:val="21"/>
                <w:szCs w:val="21"/>
              </w:rPr>
            </w:pPr>
            <w:r>
              <w:rPr>
                <w:rFonts w:hint="eastAsia" w:ascii="楷体" w:hAnsi="楷体" w:eastAsia="楷体" w:cs="楷体"/>
                <w:sz w:val="21"/>
                <w:szCs w:val="21"/>
              </w:rPr>
              <w:t>●企业质量目标：</w:t>
            </w:r>
          </w:p>
          <w:p>
            <w:pPr>
              <w:spacing w:line="360" w:lineRule="exact"/>
              <w:rPr>
                <w:rFonts w:hint="eastAsia" w:ascii="楷体" w:hAnsi="楷体" w:eastAsia="楷体" w:cs="楷体"/>
                <w:b/>
                <w:bCs/>
                <w:sz w:val="21"/>
                <w:szCs w:val="21"/>
              </w:rPr>
            </w:pPr>
            <w:r>
              <w:rPr>
                <w:rFonts w:hint="eastAsia" w:ascii="楷体" w:hAnsi="楷体" w:eastAsia="楷体" w:cs="楷体"/>
                <w:b/>
                <w:bCs/>
                <w:sz w:val="21"/>
                <w:szCs w:val="21"/>
                <w:lang w:val="en-US" w:eastAsia="zh-CN"/>
              </w:rPr>
              <w:t>1、</w:t>
            </w:r>
            <w:r>
              <w:rPr>
                <w:rFonts w:hint="eastAsia" w:ascii="楷体" w:hAnsi="楷体" w:eastAsia="楷体" w:cs="楷体"/>
                <w:b/>
                <w:bCs/>
                <w:sz w:val="21"/>
                <w:szCs w:val="21"/>
              </w:rPr>
              <w:t>顾客满意度达95% 以上；</w:t>
            </w:r>
          </w:p>
          <w:p>
            <w:pPr>
              <w:ind w:left="105" w:hanging="105" w:hangingChars="50"/>
              <w:rPr>
                <w:rFonts w:hint="eastAsia" w:ascii="楷体" w:hAnsi="楷体" w:eastAsia="楷体" w:cs="楷体"/>
                <w:sz w:val="21"/>
                <w:szCs w:val="21"/>
              </w:rPr>
            </w:pPr>
            <w:r>
              <w:rPr>
                <w:rFonts w:hint="eastAsia" w:ascii="楷体" w:hAnsi="楷体" w:eastAsia="楷体" w:cs="楷体"/>
                <w:b/>
                <w:bCs/>
                <w:sz w:val="21"/>
                <w:szCs w:val="21"/>
                <w:lang w:val="en-US" w:eastAsia="zh-CN"/>
              </w:rPr>
              <w:t>2、产品</w:t>
            </w:r>
            <w:r>
              <w:rPr>
                <w:rFonts w:hint="eastAsia" w:ascii="楷体" w:hAnsi="楷体" w:eastAsia="楷体" w:cs="楷体"/>
                <w:b/>
                <w:bCs/>
                <w:sz w:val="21"/>
                <w:szCs w:val="21"/>
              </w:rPr>
              <w:t xml:space="preserve">一次交验合格率≥95% </w:t>
            </w:r>
            <w:r>
              <w:rPr>
                <w:rFonts w:hint="eastAsia" w:ascii="楷体" w:hAnsi="楷体" w:eastAsia="楷体" w:cs="楷体"/>
                <w:b/>
                <w:bCs/>
                <w:sz w:val="21"/>
                <w:szCs w:val="21"/>
                <w:lang w:eastAsia="zh-CN"/>
              </w:rPr>
              <w:t>；</w:t>
            </w:r>
          </w:p>
          <w:p>
            <w:pPr>
              <w:rPr>
                <w:rFonts w:hint="eastAsia" w:ascii="楷体" w:hAnsi="楷体" w:eastAsia="楷体" w:cs="楷体"/>
                <w:b/>
                <w:sz w:val="21"/>
                <w:szCs w:val="21"/>
              </w:rPr>
            </w:pPr>
            <w:r>
              <w:rPr>
                <w:rFonts w:hint="eastAsia" w:ascii="楷体" w:hAnsi="楷体" w:eastAsia="楷体" w:cs="楷体"/>
                <w:sz w:val="21"/>
                <w:szCs w:val="21"/>
              </w:rPr>
              <w:t>●质量目标满足产品要求（国家标准及客户要求）；</w:t>
            </w:r>
          </w:p>
          <w:p>
            <w:pPr>
              <w:rPr>
                <w:rFonts w:hint="eastAsia" w:ascii="楷体" w:hAnsi="楷体" w:eastAsia="楷体" w:cs="楷体"/>
                <w:sz w:val="21"/>
                <w:szCs w:val="21"/>
              </w:rPr>
            </w:pPr>
            <w:r>
              <w:rPr>
                <w:rFonts w:hint="eastAsia" w:ascii="楷体" w:hAnsi="楷体" w:eastAsia="楷体" w:cs="楷体"/>
                <w:sz w:val="21"/>
                <w:szCs w:val="21"/>
              </w:rPr>
              <w:t>●质量目标进行层层分解，落实到责任部门，每季度末考核。</w:t>
            </w:r>
          </w:p>
          <w:p>
            <w:pPr>
              <w:rPr>
                <w:rFonts w:hint="eastAsia" w:ascii="楷体" w:hAnsi="楷体" w:eastAsia="楷体" w:cs="楷体"/>
                <w:sz w:val="21"/>
                <w:szCs w:val="21"/>
              </w:rPr>
            </w:pPr>
            <w:r>
              <w:rPr>
                <w:rFonts w:hint="eastAsia" w:ascii="楷体" w:hAnsi="楷体" w:eastAsia="楷体" w:cs="楷体"/>
                <w:sz w:val="21"/>
                <w:szCs w:val="21"/>
              </w:rPr>
              <w:t>--查2020年度</w:t>
            </w:r>
            <w:r>
              <w:rPr>
                <w:rFonts w:hint="eastAsia" w:ascii="楷体" w:hAnsi="楷体" w:eastAsia="楷体" w:cs="楷体"/>
                <w:sz w:val="21"/>
                <w:szCs w:val="21"/>
                <w:lang w:val="en-US" w:eastAsia="zh-CN"/>
              </w:rPr>
              <w:t>3-4</w:t>
            </w:r>
            <w:r>
              <w:rPr>
                <w:rFonts w:hint="eastAsia" w:ascii="楷体" w:hAnsi="楷体" w:eastAsia="楷体" w:cs="楷体"/>
                <w:sz w:val="21"/>
                <w:szCs w:val="21"/>
              </w:rPr>
              <w:t>季度考核情况：考核日期：2020.</w:t>
            </w:r>
            <w:r>
              <w:rPr>
                <w:rFonts w:hint="eastAsia" w:ascii="楷体" w:hAnsi="楷体" w:eastAsia="楷体" w:cs="楷体"/>
                <w:sz w:val="21"/>
                <w:szCs w:val="21"/>
                <w:lang w:val="en-US" w:eastAsia="zh-CN"/>
              </w:rPr>
              <w:t>10.6-2021.1.10</w:t>
            </w:r>
            <w:r>
              <w:rPr>
                <w:rFonts w:hint="eastAsia" w:ascii="楷体" w:hAnsi="楷体" w:eastAsia="楷体" w:cs="楷体"/>
                <w:sz w:val="21"/>
                <w:szCs w:val="21"/>
              </w:rPr>
              <w:t>，考核人：彭兰</w:t>
            </w:r>
          </w:p>
          <w:p>
            <w:pPr>
              <w:rPr>
                <w:rFonts w:hint="eastAsia" w:ascii="楷体" w:hAnsi="楷体" w:eastAsia="楷体" w:cs="楷体"/>
                <w:sz w:val="21"/>
                <w:szCs w:val="21"/>
              </w:rPr>
            </w:pPr>
            <w:r>
              <w:rPr>
                <w:rFonts w:hint="eastAsia" w:ascii="楷体" w:hAnsi="楷体" w:eastAsia="楷体" w:cs="楷体"/>
                <w:sz w:val="21"/>
                <w:szCs w:val="21"/>
              </w:rPr>
              <w:t>1、顾客满意度达9</w:t>
            </w:r>
            <w:r>
              <w:rPr>
                <w:rFonts w:hint="eastAsia" w:ascii="楷体" w:hAnsi="楷体" w:eastAsia="楷体" w:cs="楷体"/>
                <w:sz w:val="21"/>
                <w:szCs w:val="21"/>
                <w:lang w:val="en-US" w:eastAsia="zh-CN"/>
              </w:rPr>
              <w:t>5</w:t>
            </w:r>
            <w:r>
              <w:rPr>
                <w:rFonts w:hint="eastAsia" w:ascii="楷体" w:hAnsi="楷体" w:eastAsia="楷体" w:cs="楷体"/>
                <w:sz w:val="21"/>
                <w:szCs w:val="21"/>
              </w:rPr>
              <w:t xml:space="preserve">%以上            </w:t>
            </w:r>
            <w:r>
              <w:rPr>
                <w:rFonts w:hint="eastAsia" w:ascii="楷体" w:hAnsi="楷体" w:eastAsia="楷体" w:cs="楷体"/>
                <w:sz w:val="21"/>
                <w:szCs w:val="21"/>
                <w:lang w:val="en-US" w:eastAsia="zh-CN"/>
              </w:rPr>
              <w:t>100</w:t>
            </w:r>
            <w:r>
              <w:rPr>
                <w:rFonts w:hint="eastAsia" w:ascii="楷体" w:hAnsi="楷体" w:eastAsia="楷体" w:cs="楷体"/>
                <w:sz w:val="21"/>
                <w:szCs w:val="21"/>
              </w:rPr>
              <w:t>%</w:t>
            </w:r>
          </w:p>
          <w:p>
            <w:pPr>
              <w:pStyle w:val="2"/>
              <w:rPr>
                <w:rFonts w:ascii="宋体" w:hAnsi="宋体"/>
                <w:b/>
                <w:color w:val="000000" w:themeColor="text1"/>
              </w:rPr>
            </w:pPr>
            <w:r>
              <w:rPr>
                <w:rFonts w:hint="eastAsia" w:ascii="楷体" w:hAnsi="楷体" w:eastAsia="楷体" w:cs="楷体"/>
                <w:sz w:val="21"/>
                <w:szCs w:val="21"/>
              </w:rPr>
              <w:t>2、产品交付顾客验收合格率</w:t>
            </w:r>
            <w:r>
              <w:rPr>
                <w:rFonts w:hint="eastAsia" w:ascii="楷体" w:hAnsi="楷体" w:eastAsia="楷体" w:cs="楷体"/>
                <w:sz w:val="21"/>
                <w:szCs w:val="21"/>
                <w:lang w:val="en-US" w:eastAsia="zh-CN"/>
              </w:rPr>
              <w:t>95</w:t>
            </w:r>
            <w:r>
              <w:rPr>
                <w:rFonts w:hint="eastAsia" w:ascii="楷体" w:hAnsi="楷体" w:eastAsia="楷体" w:cs="楷体"/>
                <w:sz w:val="21"/>
                <w:szCs w:val="21"/>
              </w:rPr>
              <w:t>%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楷体" w:hAnsi="楷体" w:eastAsia="楷体" w:cs="楷体"/>
                <w:color w:val="000000" w:themeColor="text1"/>
                <w:sz w:val="21"/>
                <w:szCs w:val="21"/>
              </w:rPr>
              <w:t>管理体系文件由综合部组织编写，总经理批准发布实施，综合部打印传阅，公司文件柜存放，电子版本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综合部根据管理体系要求设计了空白表格，按照需求发放，由使用人员填写记录并保存，综合部不定期 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rPr>
              <w:t>人力资源：企业目前在职员工2</w:t>
            </w:r>
            <w:r>
              <w:rPr>
                <w:rFonts w:hint="eastAsia"/>
                <w:lang w:val="en-US" w:eastAsia="zh-CN"/>
              </w:rPr>
              <w:t>0</w:t>
            </w:r>
            <w:r>
              <w:rPr>
                <w:rFonts w:hint="eastAsia"/>
              </w:rPr>
              <w:t>人，职工队伍相对稳定，均在相关企业工作近5年，实践经验丰富；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rPr>
              <w:t>自动加料机、料斗式干燥机、单螺杆挤出机、模具、真空定径箱、喷淋水箱、三爪牵引机、1T干燥机、翻料架、无屑切割机等，满足生产需求。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eastAsia" w:ascii="楷体" w:hAnsi="楷体" w:eastAsia="楷体" w:cs="楷体"/>
                <w:sz w:val="21"/>
                <w:szCs w:val="21"/>
              </w:rPr>
            </w:pPr>
            <w:r>
              <w:rPr>
                <w:rFonts w:hint="eastAsia" w:ascii="楷体" w:hAnsi="楷体" w:eastAsia="楷体" w:cs="楷体"/>
                <w:sz w:val="21"/>
                <w:szCs w:val="21"/>
              </w:rPr>
              <w:t>工作环境：占地面积2600 平</w:t>
            </w:r>
            <w:r>
              <w:rPr>
                <w:rFonts w:hint="eastAsia" w:ascii="楷体" w:hAnsi="楷体" w:eastAsia="楷体" w:cs="楷体"/>
                <w:sz w:val="21"/>
                <w:szCs w:val="21"/>
                <w:lang w:eastAsia="zh-CN"/>
              </w:rPr>
              <w:t>，</w:t>
            </w:r>
            <w:r>
              <w:rPr>
                <w:rFonts w:hint="eastAsia" w:ascii="楷体" w:hAnsi="楷体" w:eastAsia="楷体" w:cs="楷体"/>
                <w:sz w:val="21"/>
                <w:szCs w:val="21"/>
              </w:rPr>
              <w:t>办公区域面积</w:t>
            </w:r>
            <w:r>
              <w:rPr>
                <w:rFonts w:hint="eastAsia" w:ascii="楷体" w:hAnsi="楷体" w:eastAsia="楷体" w:cs="楷体"/>
                <w:sz w:val="21"/>
                <w:szCs w:val="21"/>
                <w:lang w:val="en-US" w:eastAsia="zh-CN"/>
              </w:rPr>
              <w:t>3</w:t>
            </w:r>
            <w:r>
              <w:rPr>
                <w:rFonts w:hint="eastAsia" w:ascii="楷体" w:hAnsi="楷体" w:eastAsia="楷体" w:cs="楷体"/>
                <w:sz w:val="21"/>
                <w:szCs w:val="21"/>
              </w:rPr>
              <w:t>00平米；布局合理，场所卫生干净整洁，工作环境良好，</w:t>
            </w:r>
          </w:p>
          <w:p>
            <w:pPr>
              <w:spacing w:line="240" w:lineRule="exact"/>
              <w:rPr>
                <w:rFonts w:ascii="宋体" w:hAnsi="宋体"/>
                <w:b/>
                <w:color w:val="000000" w:themeColor="text1"/>
                <w:sz w:val="20"/>
                <w:szCs w:val="20"/>
              </w:rPr>
            </w:pPr>
            <w:r>
              <w:rPr>
                <w:rFonts w:hint="eastAsia" w:ascii="楷体" w:hAnsi="楷体" w:eastAsia="楷体" w:cs="楷体"/>
                <w:sz w:val="21"/>
                <w:szCs w:val="21"/>
              </w:rPr>
              <w:t>车间：</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车间 600平，仓库</w:t>
            </w:r>
            <w:r>
              <w:rPr>
                <w:rFonts w:hint="eastAsia" w:ascii="楷体" w:hAnsi="楷体" w:eastAsia="楷体" w:cs="楷体"/>
                <w:sz w:val="21"/>
                <w:szCs w:val="21"/>
                <w:lang w:val="en-US" w:eastAsia="zh-CN"/>
              </w:rPr>
              <w:t>200</w:t>
            </w:r>
            <w:r>
              <w:rPr>
                <w:rFonts w:hint="eastAsia" w:ascii="楷体" w:hAnsi="楷体" w:eastAsia="楷体" w:cs="楷体"/>
                <w:sz w:val="21"/>
                <w:szCs w:val="21"/>
              </w:rPr>
              <w:t>平，工具分类排放，设备摆放有序；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r>
              <w:rPr>
                <w:rFonts w:hint="eastAsia" w:ascii="楷体" w:hAnsi="楷体" w:eastAsia="楷体" w:cs="楷体"/>
                <w:sz w:val="21"/>
                <w:szCs w:val="21"/>
              </w:rPr>
              <w:t>压力表</w:t>
            </w:r>
            <w:r>
              <w:rPr>
                <w:rFonts w:hint="eastAsia" w:ascii="楷体" w:hAnsi="楷体" w:eastAsia="楷体" w:cs="楷体"/>
                <w:sz w:val="21"/>
                <w:szCs w:val="21"/>
                <w:lang w:eastAsia="zh-CN"/>
              </w:rPr>
              <w:t>、</w:t>
            </w:r>
            <w:r>
              <w:rPr>
                <w:rFonts w:hint="eastAsia" w:ascii="楷体" w:hAnsi="楷体" w:eastAsia="楷体" w:cs="楷体"/>
                <w:sz w:val="21"/>
                <w:szCs w:val="21"/>
              </w:rPr>
              <w:t>游标卡尺</w:t>
            </w:r>
            <w:r>
              <w:rPr>
                <w:rFonts w:hint="eastAsia" w:ascii="楷体" w:hAnsi="楷体" w:eastAsia="楷体" w:cs="楷体"/>
                <w:sz w:val="21"/>
                <w:szCs w:val="21"/>
                <w:lang w:eastAsia="zh-CN"/>
              </w:rPr>
              <w:t>、</w:t>
            </w:r>
            <w:r>
              <w:rPr>
                <w:rFonts w:hint="eastAsia" w:ascii="楷体" w:hAnsi="楷体" w:eastAsia="楷体" w:cs="楷体"/>
                <w:sz w:val="21"/>
                <w:szCs w:val="21"/>
              </w:rPr>
              <w:t>盒尺</w:t>
            </w:r>
            <w:r>
              <w:rPr>
                <w:rFonts w:hint="eastAsia" w:ascii="楷体" w:hAnsi="楷体" w:eastAsia="楷体" w:cs="楷体"/>
                <w:sz w:val="21"/>
                <w:szCs w:val="21"/>
                <w:lang w:eastAsia="zh-CN"/>
              </w:rPr>
              <w:t>、</w:t>
            </w:r>
            <w:r>
              <w:rPr>
                <w:rFonts w:hint="eastAsia" w:ascii="楷体" w:hAnsi="楷体" w:eastAsia="楷体" w:cs="楷体"/>
                <w:sz w:val="21"/>
                <w:szCs w:val="21"/>
              </w:rPr>
              <w:t>台秤</w:t>
            </w:r>
            <w:r>
              <w:rPr>
                <w:rFonts w:hint="eastAsia" w:ascii="楷体" w:hAnsi="楷体" w:eastAsia="楷体" w:cs="楷体"/>
                <w:sz w:val="21"/>
                <w:szCs w:val="21"/>
                <w:lang w:eastAsia="zh-CN"/>
              </w:rPr>
              <w:t>、</w:t>
            </w:r>
            <w:r>
              <w:rPr>
                <w:rFonts w:hint="eastAsia" w:ascii="楷体" w:hAnsi="楷体" w:eastAsia="楷体" w:cs="楷体"/>
                <w:sz w:val="21"/>
                <w:szCs w:val="21"/>
              </w:rPr>
              <w:t>尺寸变化率测定仪（烘箱）</w:t>
            </w:r>
            <w:r>
              <w:rPr>
                <w:rFonts w:hint="eastAsia" w:ascii="楷体" w:hAnsi="楷体" w:eastAsia="楷体" w:cs="楷体"/>
                <w:sz w:val="21"/>
                <w:szCs w:val="21"/>
                <w:lang w:eastAsia="zh-CN"/>
              </w:rPr>
              <w:t>、</w:t>
            </w:r>
            <w:r>
              <w:rPr>
                <w:rFonts w:hint="eastAsia" w:ascii="楷体" w:hAnsi="楷体" w:eastAsia="楷体" w:cs="楷体"/>
                <w:sz w:val="21"/>
                <w:szCs w:val="21"/>
              </w:rPr>
              <w:t>管材落锤冲击实验机器</w:t>
            </w:r>
            <w:r>
              <w:rPr>
                <w:rFonts w:hint="eastAsia" w:ascii="楷体" w:hAnsi="楷体" w:eastAsia="楷体" w:cs="楷体"/>
                <w:sz w:val="21"/>
                <w:szCs w:val="21"/>
                <w:lang w:eastAsia="zh-CN"/>
              </w:rPr>
              <w:t>、</w:t>
            </w:r>
            <w:r>
              <w:rPr>
                <w:rFonts w:hint="eastAsia" w:ascii="楷体" w:hAnsi="楷体" w:eastAsia="楷体" w:cs="楷体"/>
                <w:sz w:val="21"/>
                <w:szCs w:val="21"/>
              </w:rPr>
              <w:t>热变形维卡软化点温度测定仪</w:t>
            </w:r>
            <w:r>
              <w:rPr>
                <w:rFonts w:hint="eastAsia" w:ascii="楷体" w:hAnsi="楷体" w:eastAsia="楷体" w:cs="楷体"/>
                <w:sz w:val="21"/>
                <w:szCs w:val="21"/>
                <w:lang w:eastAsia="zh-CN"/>
              </w:rPr>
              <w:t>、</w:t>
            </w:r>
            <w:r>
              <w:rPr>
                <w:rFonts w:hint="eastAsia" w:ascii="楷体" w:hAnsi="楷体" w:eastAsia="楷体" w:cs="楷体"/>
                <w:sz w:val="21"/>
                <w:szCs w:val="21"/>
              </w:rPr>
              <w:t>电子万能试验机</w:t>
            </w:r>
            <w:r>
              <w:rPr>
                <w:rFonts w:hint="eastAsia" w:ascii="楷体" w:hAnsi="楷体" w:eastAsia="楷体" w:cs="楷体"/>
                <w:sz w:val="21"/>
                <w:szCs w:val="21"/>
                <w:lang w:eastAsia="zh-CN"/>
              </w:rPr>
              <w:t>、</w:t>
            </w:r>
            <w:r>
              <w:rPr>
                <w:rFonts w:hint="eastAsia" w:ascii="楷体" w:hAnsi="楷体" w:eastAsia="楷体" w:cs="楷体"/>
                <w:sz w:val="21"/>
                <w:szCs w:val="21"/>
              </w:rPr>
              <w:t>电子密度天平等，满足检验需求。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szCs w:val="21"/>
              </w:rPr>
            </w:pPr>
            <w:r>
              <w:rPr>
                <w:rFonts w:hint="eastAsia"/>
                <w:szCs w:val="21"/>
              </w:rPr>
              <w:sym w:font="Wingdings 2" w:char="F098"/>
            </w:r>
            <w:r>
              <w:rPr>
                <w:rFonts w:hint="eastAsia"/>
                <w:szCs w:val="21"/>
              </w:rPr>
              <w:t>组织运行所需的知识从内、外部来源获取的有：</w:t>
            </w:r>
          </w:p>
          <w:p>
            <w:pPr>
              <w:pStyle w:val="11"/>
              <w:numPr>
                <w:ilvl w:val="0"/>
                <w:numId w:val="4"/>
              </w:numPr>
              <w:ind w:firstLineChars="0"/>
              <w:rPr>
                <w:szCs w:val="21"/>
              </w:rPr>
            </w:pPr>
            <w:r>
              <w:rPr>
                <w:rFonts w:hint="eastAsia"/>
                <w:szCs w:val="21"/>
              </w:rPr>
              <w:t>公司员工具有以往多年的工作经验（员工过去所有的）根据顾客要求提供满足顾客需求的产品信息等；</w:t>
            </w:r>
          </w:p>
          <w:p>
            <w:pPr>
              <w:pStyle w:val="11"/>
              <w:numPr>
                <w:ilvl w:val="0"/>
                <w:numId w:val="4"/>
              </w:numPr>
              <w:ind w:firstLineChars="0"/>
              <w:rPr>
                <w:szCs w:val="21"/>
              </w:rPr>
            </w:pPr>
            <w:r>
              <w:rPr>
                <w:rFonts w:hint="eastAsia"/>
                <w:szCs w:val="21"/>
              </w:rPr>
              <w:t>外部来源获取有：体系咨询老师传授的体系知识及所实施的内审员的培训；供方提供的产品介绍等。</w:t>
            </w:r>
          </w:p>
          <w:p>
            <w:pPr>
              <w:pStyle w:val="11"/>
              <w:numPr>
                <w:ilvl w:val="0"/>
                <w:numId w:val="4"/>
              </w:numPr>
              <w:ind w:firstLineChars="0"/>
              <w:rPr>
                <w:szCs w:val="21"/>
              </w:rPr>
            </w:pPr>
            <w:r>
              <w:rPr>
                <w:rFonts w:hint="eastAsia"/>
                <w:szCs w:val="21"/>
              </w:rPr>
              <w:t>获取及保持方法：老员工传帮带新员工；存档产品信息；</w:t>
            </w:r>
          </w:p>
          <w:p>
            <w:pPr>
              <w:pStyle w:val="11"/>
              <w:numPr>
                <w:ilvl w:val="0"/>
                <w:numId w:val="4"/>
              </w:numPr>
              <w:ind w:firstLineChars="0"/>
              <w:rPr>
                <w:szCs w:val="21"/>
              </w:rPr>
            </w:pPr>
            <w:r>
              <w:rPr>
                <w:rFonts w:hint="eastAsia"/>
                <w:szCs w:val="21"/>
              </w:rPr>
              <w:t>为应对不断变化的需求和法阵趋势，组织策划进行体系标准及相关知识的再培训、招聘有专业知识的生产、销售人员等方式，对确定的知识及时更新；</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对外来文件进行了识别收集，现场提供有《外来文件清单》包括</w:t>
            </w:r>
            <w:r>
              <w:rPr>
                <w:rFonts w:hint="eastAsia"/>
              </w:rPr>
              <w:t>产品质量法、合同法、标准化法、公司法</w:t>
            </w:r>
            <w:r>
              <w:rPr>
                <w:rFonts w:hint="eastAsia" w:asciiTheme="minorEastAsia" w:hAnsiTheme="minorEastAsia" w:eastAsiaTheme="minorEastAsia"/>
              </w:rPr>
              <w:t>、</w:t>
            </w:r>
            <w:r>
              <w:fldChar w:fldCharType="begin"/>
            </w:r>
            <w:r>
              <w:instrText xml:space="preserve"> HYPERLINK "http://www.bzxzk.net/gjbz/16022013/124686.html" \t "http://www.bzxzk.net/e/search/result/_blank" </w:instrText>
            </w:r>
            <w:r>
              <w:fldChar w:fldCharType="separate"/>
            </w:r>
            <w:r>
              <w:t xml:space="preserve"> GB/T </w:t>
            </w:r>
            <w:r>
              <w:rPr>
                <w:rFonts w:asciiTheme="minorEastAsia" w:hAnsiTheme="minorEastAsia" w:eastAsiaTheme="minorEastAsia"/>
                <w:szCs w:val="21"/>
              </w:rPr>
              <w:t>18742.1-2017</w:t>
            </w:r>
            <w:r>
              <w:rPr>
                <w:rFonts w:hint="eastAsia" w:ascii="宋体" w:hAnsi="宋体"/>
                <w:szCs w:val="21"/>
              </w:rPr>
              <w:t>《</w:t>
            </w:r>
            <w:r>
              <w:t>冷热水用聚丙烯管道系统 第1部分：总则</w:t>
            </w:r>
            <w:r>
              <w:fldChar w:fldCharType="end"/>
            </w:r>
            <w:r>
              <w:rPr>
                <w:rFonts w:hint="eastAsia" w:ascii="宋体" w:hAnsi="宋体"/>
              </w:rPr>
              <w:t>》</w:t>
            </w:r>
            <w:r>
              <w:t>、</w:t>
            </w:r>
            <w:r>
              <w:rPr>
                <w:rFonts w:hint="eastAsia"/>
              </w:rPr>
              <w:t>DL/T 802.7-2010《电力电缆用导管技术条件第7部分：非开挖用改性聚丙烯塑料电缆导管》、</w:t>
            </w:r>
            <w:r>
              <w:rPr>
                <w:rFonts w:hint="eastAsia" w:asciiTheme="minorEastAsia" w:hAnsiTheme="minorEastAsia" w:eastAsiaTheme="minorEastAsia"/>
              </w:rPr>
              <w:t>GB/T 19000-2016《质量管理体系 基础和术语》</w:t>
            </w:r>
            <w:r>
              <w:t>等，经常网上查阅、及时与顾客沟通确保最新版本。</w:t>
            </w:r>
          </w:p>
          <w:p>
            <w:pPr>
              <w:spacing w:line="240" w:lineRule="exact"/>
              <w:rPr>
                <w:rFonts w:ascii="宋体" w:hAnsi="宋体"/>
                <w:b/>
                <w:color w:val="000000" w:themeColor="text1"/>
                <w:sz w:val="20"/>
                <w:szCs w:val="20"/>
              </w:rPr>
            </w:pPr>
            <w:r>
              <w:rPr>
                <w:rFonts w:hint="eastAsia"/>
                <w:szCs w:val="21"/>
              </w:rPr>
              <w:sym w:font="Wingdings 2" w:char="F098"/>
            </w:r>
            <w:r>
              <w:rPr>
                <w:rFonts w:hint="eastAsia"/>
                <w:szCs w:val="21"/>
              </w:rPr>
              <w:t>企业知识管理符合要求。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pPr>
            <w:r>
              <w:rPr>
                <w:rFonts w:hint="eastAsia"/>
              </w:rPr>
              <w:t>1. 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rPr>
                <w:szCs w:val="21"/>
              </w:rPr>
            </w:pPr>
            <w:r>
              <w:rPr>
                <w:rFonts w:hint="eastAsia"/>
                <w:szCs w:val="21"/>
              </w:rPr>
              <w:sym w:font="Wingdings 2" w:char="F098"/>
            </w:r>
            <w:r>
              <w:rPr>
                <w:rFonts w:hint="eastAsia"/>
                <w:szCs w:val="21"/>
              </w:rPr>
              <w:t>质量方针：</w:t>
            </w:r>
            <w:r>
              <w:rPr>
                <w:szCs w:val="21"/>
              </w:rPr>
              <w:t>团结进取</w:t>
            </w:r>
            <w:r>
              <w:t>、</w:t>
            </w:r>
            <w:r>
              <w:rPr>
                <w:szCs w:val="21"/>
              </w:rPr>
              <w:t xml:space="preserve"> 求实创新</w:t>
            </w:r>
            <w:r>
              <w:t>、</w:t>
            </w:r>
            <w:r>
              <w:rPr>
                <w:szCs w:val="21"/>
              </w:rPr>
              <w:t>优质高效</w:t>
            </w:r>
            <w:r>
              <w:t>、</w:t>
            </w:r>
            <w:r>
              <w:rPr>
                <w:szCs w:val="21"/>
              </w:rPr>
              <w:t>诚信服务</w:t>
            </w:r>
          </w:p>
          <w:p>
            <w:pPr>
              <w:pStyle w:val="2"/>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部沟通的情况：内部沟通方式：文件、会议、电话、面谈等方式进行内部沟通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组织对外联络，关注顾客的感受情况（QMS）：对顾客回访，进行满意度调查</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sym w:font="Wingdings 2" w:char="F098"/>
            </w:r>
            <w:r>
              <w:rPr>
                <w:rFonts w:hint="eastAsia" w:asciiTheme="minorEastAsia" w:hAnsiTheme="minorEastAsia" w:eastAsiaTheme="minorEastAsia"/>
                <w:sz w:val="20"/>
                <w:szCs w:val="20"/>
              </w:rPr>
              <w:t>企业提供的资料显示生产程序：综合部、生产技术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产技术部下达生产任务书。</w:t>
            </w:r>
          </w:p>
          <w:p>
            <w:pPr>
              <w:pStyle w:val="17"/>
              <w:autoSpaceDE/>
              <w:autoSpaceDN/>
              <w:adjustRightInd/>
              <w:spacing w:line="340" w:lineRule="exact"/>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sym w:font="Wingdings 2" w:char="F098"/>
            </w:r>
            <w:r>
              <w:rPr>
                <w:rFonts w:hint="eastAsia" w:asciiTheme="minorEastAsia" w:hAnsiTheme="minorEastAsia" w:eastAsiaTheme="minor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pPr>
              <w:pStyle w:val="17"/>
              <w:autoSpaceDE/>
              <w:autoSpaceDN/>
              <w:adjustRightInd/>
              <w:spacing w:line="340" w:lineRule="exact"/>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lang w:val="en-GB"/>
              </w:rPr>
              <w:sym w:font="Wingdings 2" w:char="F098"/>
            </w:r>
            <w:r>
              <w:rPr>
                <w:rFonts w:hint="eastAsia" w:asciiTheme="minorEastAsia" w:hAnsiTheme="minorEastAsia" w:eastAsiaTheme="minorEastAsia"/>
                <w:color w:val="auto"/>
                <w:kern w:val="2"/>
                <w:sz w:val="20"/>
                <w:szCs w:val="20"/>
                <w:lang w:val="en-GB"/>
              </w:rPr>
              <w:t>生产过程控制：配料、挤出、真空定径、检验</w:t>
            </w:r>
            <w:r>
              <w:rPr>
                <w:rFonts w:hint="eastAsia" w:asciiTheme="minorEastAsia" w:hAnsiTheme="minorEastAsia" w:eastAsiaTheme="minorEastAsia"/>
                <w:sz w:val="20"/>
                <w:szCs w:val="20"/>
              </w:rPr>
              <w:t>等过程</w:t>
            </w:r>
            <w:r>
              <w:rPr>
                <w:rFonts w:hint="eastAsia" w:asciiTheme="minorEastAsia" w:hAnsiTheme="minorEastAsia" w:eastAsiaTheme="minorEastAsia"/>
                <w:color w:val="auto"/>
                <w:kern w:val="2"/>
                <w:sz w:val="20"/>
                <w:szCs w:val="20"/>
                <w:lang w:val="en-GB"/>
              </w:rPr>
              <w:t>；制定了生产</w:t>
            </w:r>
            <w:r>
              <w:rPr>
                <w:rFonts w:hint="eastAsia" w:asciiTheme="minorEastAsia" w:hAnsiTheme="minorEastAsia" w:eastAsiaTheme="minorEastAsia"/>
                <w:color w:val="auto"/>
                <w:kern w:val="2"/>
                <w:sz w:val="20"/>
                <w:szCs w:val="20"/>
              </w:rPr>
              <w:t>设备管理制度、设备操作规程、作业指导书、成品检验规范等管理技术文件。</w:t>
            </w:r>
          </w:p>
          <w:p>
            <w:pPr>
              <w:rPr>
                <w:rFonts w:hint="eastAsia" w:asciiTheme="minorEastAsia" w:hAnsiTheme="minorEastAsia" w:eastAsiaTheme="minorEastAsia"/>
                <w:sz w:val="20"/>
                <w:szCs w:val="20"/>
              </w:rPr>
            </w:pPr>
            <w:r>
              <w:rPr>
                <w:rFonts w:hint="eastAsia" w:asciiTheme="minorEastAsia" w:hAnsiTheme="minorEastAsia" w:eastAsiaTheme="minorEastAsia"/>
                <w:sz w:val="20"/>
                <w:szCs w:val="20"/>
              </w:rPr>
              <w:sym w:font="Wingdings 2" w:char="F098"/>
            </w:r>
            <w:r>
              <w:rPr>
                <w:rFonts w:hint="eastAsia" w:asciiTheme="minorEastAsia" w:hAnsiTheme="minorEastAsia" w:eastAsiaTheme="minorEastAsia"/>
                <w:sz w:val="20"/>
                <w:szCs w:val="20"/>
              </w:rPr>
              <w:t>配备了自动加料机、料斗式干燥机、单螺杆挤出机、模具、真空定径箱、喷淋水箱、三爪牵引机、1T干燥机、翻料架、无屑切割机等，满足生产需求。</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sym w:font="Wingdings 2" w:char="F098"/>
            </w:r>
            <w:r>
              <w:rPr>
                <w:rFonts w:hint="eastAsia" w:asciiTheme="minorEastAsia" w:hAnsiTheme="minorEastAsia" w:eastAsiaTheme="minorEastAsia"/>
                <w:sz w:val="20"/>
                <w:szCs w:val="20"/>
              </w:rPr>
              <w:t>配备了</w:t>
            </w:r>
            <w:r>
              <w:rPr>
                <w:rFonts w:hint="eastAsia" w:ascii="楷体" w:hAnsi="楷体" w:eastAsia="楷体" w:cs="楷体"/>
                <w:sz w:val="21"/>
                <w:szCs w:val="21"/>
              </w:rPr>
              <w:t>压力表</w:t>
            </w:r>
            <w:r>
              <w:rPr>
                <w:rFonts w:hint="eastAsia" w:ascii="楷体" w:hAnsi="楷体" w:eastAsia="楷体" w:cs="楷体"/>
                <w:sz w:val="21"/>
                <w:szCs w:val="21"/>
                <w:lang w:eastAsia="zh-CN"/>
              </w:rPr>
              <w:t>、</w:t>
            </w:r>
            <w:r>
              <w:rPr>
                <w:rFonts w:hint="eastAsia" w:ascii="楷体" w:hAnsi="楷体" w:eastAsia="楷体" w:cs="楷体"/>
                <w:sz w:val="21"/>
                <w:szCs w:val="21"/>
              </w:rPr>
              <w:t>游标卡尺</w:t>
            </w:r>
            <w:r>
              <w:rPr>
                <w:rFonts w:hint="eastAsia" w:ascii="楷体" w:hAnsi="楷体" w:eastAsia="楷体" w:cs="楷体"/>
                <w:sz w:val="21"/>
                <w:szCs w:val="21"/>
                <w:lang w:eastAsia="zh-CN"/>
              </w:rPr>
              <w:t>、</w:t>
            </w:r>
            <w:r>
              <w:rPr>
                <w:rFonts w:hint="eastAsia" w:ascii="楷体" w:hAnsi="楷体" w:eastAsia="楷体" w:cs="楷体"/>
                <w:sz w:val="21"/>
                <w:szCs w:val="21"/>
              </w:rPr>
              <w:t>盒尺</w:t>
            </w:r>
            <w:r>
              <w:rPr>
                <w:rFonts w:hint="eastAsia" w:ascii="楷体" w:hAnsi="楷体" w:eastAsia="楷体" w:cs="楷体"/>
                <w:sz w:val="21"/>
                <w:szCs w:val="21"/>
                <w:lang w:eastAsia="zh-CN"/>
              </w:rPr>
              <w:t>、</w:t>
            </w:r>
            <w:r>
              <w:rPr>
                <w:rFonts w:hint="eastAsia" w:ascii="楷体" w:hAnsi="楷体" w:eastAsia="楷体" w:cs="楷体"/>
                <w:sz w:val="21"/>
                <w:szCs w:val="21"/>
              </w:rPr>
              <w:t>台秤</w:t>
            </w:r>
            <w:r>
              <w:rPr>
                <w:rFonts w:hint="eastAsia" w:ascii="楷体" w:hAnsi="楷体" w:eastAsia="楷体" w:cs="楷体"/>
                <w:sz w:val="21"/>
                <w:szCs w:val="21"/>
                <w:lang w:eastAsia="zh-CN"/>
              </w:rPr>
              <w:t>、</w:t>
            </w:r>
            <w:r>
              <w:rPr>
                <w:rFonts w:hint="eastAsia" w:ascii="楷体" w:hAnsi="楷体" w:eastAsia="楷体" w:cs="楷体"/>
                <w:sz w:val="21"/>
                <w:szCs w:val="21"/>
              </w:rPr>
              <w:t>尺寸变化率测定仪（烘箱）</w:t>
            </w:r>
            <w:r>
              <w:rPr>
                <w:rFonts w:hint="eastAsia" w:ascii="楷体" w:hAnsi="楷体" w:eastAsia="楷体" w:cs="楷体"/>
                <w:sz w:val="21"/>
                <w:szCs w:val="21"/>
                <w:lang w:eastAsia="zh-CN"/>
              </w:rPr>
              <w:t>、</w:t>
            </w:r>
            <w:r>
              <w:rPr>
                <w:rFonts w:hint="eastAsia" w:ascii="楷体" w:hAnsi="楷体" w:eastAsia="楷体" w:cs="楷体"/>
                <w:sz w:val="21"/>
                <w:szCs w:val="21"/>
              </w:rPr>
              <w:t>管材落锤冲击实验机器</w:t>
            </w:r>
            <w:r>
              <w:rPr>
                <w:rFonts w:hint="eastAsia" w:ascii="楷体" w:hAnsi="楷体" w:eastAsia="楷体" w:cs="楷体"/>
                <w:sz w:val="21"/>
                <w:szCs w:val="21"/>
                <w:lang w:eastAsia="zh-CN"/>
              </w:rPr>
              <w:t>、</w:t>
            </w:r>
            <w:r>
              <w:rPr>
                <w:rFonts w:hint="eastAsia" w:ascii="楷体" w:hAnsi="楷体" w:eastAsia="楷体" w:cs="楷体"/>
                <w:sz w:val="21"/>
                <w:szCs w:val="21"/>
              </w:rPr>
              <w:t>热变形维卡软化点温度测定仪</w:t>
            </w:r>
            <w:r>
              <w:rPr>
                <w:rFonts w:hint="eastAsia" w:ascii="楷体" w:hAnsi="楷体" w:eastAsia="楷体" w:cs="楷体"/>
                <w:sz w:val="21"/>
                <w:szCs w:val="21"/>
                <w:lang w:eastAsia="zh-CN"/>
              </w:rPr>
              <w:t>、</w:t>
            </w:r>
            <w:r>
              <w:rPr>
                <w:rFonts w:hint="eastAsia" w:ascii="楷体" w:hAnsi="楷体" w:eastAsia="楷体" w:cs="楷体"/>
                <w:sz w:val="21"/>
                <w:szCs w:val="21"/>
              </w:rPr>
              <w:t>电子万能试验机</w:t>
            </w:r>
            <w:r>
              <w:rPr>
                <w:rFonts w:hint="eastAsia" w:ascii="楷体" w:hAnsi="楷体" w:eastAsia="楷体" w:cs="楷体"/>
                <w:sz w:val="21"/>
                <w:szCs w:val="21"/>
                <w:lang w:eastAsia="zh-CN"/>
              </w:rPr>
              <w:t>、</w:t>
            </w:r>
            <w:r>
              <w:rPr>
                <w:rFonts w:hint="eastAsia" w:ascii="楷体" w:hAnsi="楷体" w:eastAsia="楷体" w:cs="楷体"/>
                <w:sz w:val="21"/>
                <w:szCs w:val="21"/>
              </w:rPr>
              <w:t>电子密度天平等，满足检验需求。</w:t>
            </w:r>
          </w:p>
          <w:p>
            <w:pPr>
              <w:pStyle w:val="17"/>
              <w:autoSpaceDE/>
              <w:autoSpaceDN/>
              <w:adjustRightInd/>
              <w:spacing w:line="340" w:lineRule="exact"/>
              <w:rPr>
                <w:rFonts w:asciiTheme="minorEastAsia" w:hAnsiTheme="minorEastAsia" w:eastAsiaTheme="minorEastAsia"/>
                <w:sz w:val="20"/>
                <w:szCs w:val="20"/>
              </w:rPr>
            </w:pPr>
            <w:r>
              <w:rPr>
                <w:rFonts w:hint="eastAsia" w:asciiTheme="minorEastAsia" w:hAnsiTheme="minorEastAsia" w:eastAsiaTheme="minorEastAsia"/>
                <w:color w:val="auto"/>
                <w:kern w:val="2"/>
                <w:sz w:val="20"/>
                <w:szCs w:val="20"/>
              </w:rPr>
              <w:sym w:font="Wingdings 2" w:char="F098"/>
            </w:r>
            <w:r>
              <w:rPr>
                <w:rFonts w:hint="eastAsia" w:asciiTheme="minorEastAsia" w:hAnsiTheme="minorEastAsia" w:eastAsiaTheme="minorEastAsia"/>
                <w:color w:val="auto"/>
                <w:kern w:val="2"/>
                <w:sz w:val="20"/>
                <w:szCs w:val="20"/>
                <w:lang w:val="en-GB"/>
              </w:rPr>
              <w:t>产品检验：分为原材料、半成品及成品检验，原材料采取进货验证，半成品采取随工序检验，产品采取抽检。</w:t>
            </w:r>
          </w:p>
          <w:p>
            <w:pPr>
              <w:rPr>
                <w:rFonts w:asciiTheme="minorEastAsia" w:hAnsiTheme="minorEastAsia" w:eastAsiaTheme="minorEastAsia"/>
                <w:sz w:val="20"/>
                <w:szCs w:val="20"/>
              </w:rPr>
            </w:pPr>
            <w:r>
              <w:rPr>
                <w:rFonts w:hint="eastAsia" w:asciiTheme="minorEastAsia" w:hAnsiTheme="minorEastAsia" w:eastAsiaTheme="minorEastAsia"/>
                <w:sz w:val="20"/>
                <w:szCs w:val="20"/>
                <w:lang w:val="en-GB"/>
              </w:rPr>
              <w:sym w:font="Wingdings 2" w:char="F098"/>
            </w:r>
            <w:r>
              <w:rPr>
                <w:rFonts w:hint="eastAsia" w:asciiTheme="minorEastAsia" w:hAnsiTheme="minorEastAsia" w:eastAsiaTheme="minorEastAsia"/>
                <w:sz w:val="20"/>
                <w:szCs w:val="20"/>
                <w:lang w:val="en-GB"/>
              </w:rPr>
              <w:t>产品销售过程：</w:t>
            </w:r>
            <w:r>
              <w:rPr>
                <w:rFonts w:hint="eastAsia" w:asciiTheme="minorEastAsia" w:hAnsiTheme="minorEastAsia" w:eastAsiaTheme="minorEastAsia"/>
                <w:sz w:val="20"/>
                <w:szCs w:val="20"/>
              </w:rPr>
              <w:t>公司主要产品为电缆保护管</w:t>
            </w:r>
            <w:r>
              <w:rPr>
                <w:rFonts w:asciiTheme="minorEastAsia" w:hAnsiTheme="minorEastAsia" w:eastAsiaTheme="minorEastAsia"/>
                <w:sz w:val="20"/>
                <w:szCs w:val="20"/>
              </w:rPr>
              <w:t>、塑料管材</w:t>
            </w:r>
            <w:r>
              <w:rPr>
                <w:rFonts w:hint="eastAsia" w:asciiTheme="minorEastAsia" w:hAnsiTheme="minorEastAsia" w:eastAsiaTheme="minorEastAsia"/>
                <w:sz w:val="20"/>
                <w:szCs w:val="20"/>
              </w:rPr>
              <w:t>的生产，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pPr>
              <w:pStyle w:val="17"/>
              <w:spacing w:line="276" w:lineRule="auto"/>
              <w:jc w:val="both"/>
              <w:rPr>
                <w:rFonts w:asciiTheme="minorEastAsia" w:hAnsiTheme="minorEastAsia" w:eastAsiaTheme="minorEastAsia"/>
                <w:sz w:val="20"/>
                <w:szCs w:val="20"/>
              </w:rPr>
            </w:pPr>
            <w:r>
              <w:rPr>
                <w:rFonts w:asciiTheme="minorEastAsia" w:hAnsiTheme="minorEastAsia" w:eastAsiaTheme="minorEastAsia"/>
                <w:sz w:val="20"/>
                <w:szCs w:val="20"/>
                <w:lang w:val="en-GB"/>
              </w:rPr>
              <w:sym w:font="Wingdings 2" w:char="F098"/>
            </w:r>
            <w:r>
              <w:rPr>
                <w:rFonts w:hint="eastAsia" w:asciiTheme="minorEastAsia" w:hAnsiTheme="minorEastAsia" w:eastAsiaTheme="minorEastAsia"/>
                <w:sz w:val="20"/>
                <w:szCs w:val="20"/>
              </w:rPr>
              <w:t>该公司目前经识别的特殊过程：挤出。</w:t>
            </w:r>
          </w:p>
          <w:p>
            <w:pPr>
              <w:pStyle w:val="17"/>
              <w:spacing w:line="276" w:lineRule="auto"/>
              <w:jc w:val="both"/>
              <w:rPr>
                <w:rFonts w:asciiTheme="minorEastAsia" w:hAnsiTheme="minorEastAsia" w:eastAsiaTheme="minorEastAsia"/>
                <w:sz w:val="20"/>
                <w:szCs w:val="20"/>
              </w:rPr>
            </w:pPr>
            <w:r>
              <w:rPr>
                <w:rFonts w:hint="eastAsia" w:asciiTheme="minorEastAsia" w:hAnsiTheme="minorEastAsia" w:eastAsiaTheme="minorEastAsia"/>
                <w:sz w:val="20"/>
                <w:szCs w:val="20"/>
              </w:rPr>
              <w:t>外包过程：</w:t>
            </w:r>
            <w:r>
              <w:rPr>
                <w:rFonts w:hint="eastAsia" w:asciiTheme="minorEastAsia" w:hAnsiTheme="minorEastAsia" w:eastAsiaTheme="minorEastAsia"/>
                <w:sz w:val="20"/>
                <w:szCs w:val="20"/>
                <w:lang w:val="en-US" w:eastAsia="zh-CN"/>
              </w:rPr>
              <w:t>摸具加工、</w:t>
            </w:r>
            <w:r>
              <w:rPr>
                <w:rFonts w:hint="eastAsia" w:asciiTheme="minorEastAsia" w:hAnsiTheme="minorEastAsia" w:eastAsiaTheme="minorEastAsia"/>
                <w:sz w:val="20"/>
                <w:szCs w:val="20"/>
              </w:rPr>
              <w:t>产品运输。</w:t>
            </w:r>
          </w:p>
          <w:p>
            <w:pPr>
              <w:pStyle w:val="17"/>
              <w:spacing w:line="276" w:lineRule="auto"/>
              <w:jc w:val="both"/>
              <w:rPr>
                <w:rFonts w:asciiTheme="minorEastAsia" w:hAnsiTheme="minorEastAsia" w:eastAsiaTheme="minorEastAsia"/>
                <w:sz w:val="20"/>
                <w:szCs w:val="20"/>
              </w:rPr>
            </w:pPr>
            <w:r>
              <w:rPr>
                <w:rFonts w:hint="eastAsia" w:asciiTheme="minorEastAsia" w:hAnsiTheme="minorEastAsia" w:eastAsiaTheme="minorEastAsia"/>
                <w:sz w:val="20"/>
                <w:szCs w:val="20"/>
              </w:rPr>
              <w:t>关键过程：</w:t>
            </w:r>
            <w:r>
              <w:rPr>
                <w:rFonts w:hint="eastAsia" w:asciiTheme="minorEastAsia" w:hAnsiTheme="minorEastAsia" w:eastAsiaTheme="minorEastAsia"/>
                <w:color w:val="auto"/>
                <w:kern w:val="2"/>
                <w:sz w:val="20"/>
                <w:szCs w:val="20"/>
                <w:lang w:val="en-GB"/>
              </w:rPr>
              <w:t>配料、挤出、真空定径</w:t>
            </w:r>
          </w:p>
          <w:p>
            <w:pPr>
              <w:spacing w:line="240" w:lineRule="exact"/>
              <w:rPr>
                <w:b/>
                <w:color w:val="000000" w:themeColor="text1"/>
                <w:sz w:val="20"/>
                <w:szCs w:val="20"/>
              </w:rPr>
            </w:pPr>
            <w:r>
              <w:rPr>
                <w:rFonts w:hint="eastAsia" w:asciiTheme="minorEastAsia" w:hAnsiTheme="minorEastAsia" w:eastAsiaTheme="minorEastAsia"/>
                <w:sz w:val="20"/>
                <w:szCs w:val="20"/>
              </w:rPr>
              <w:sym w:font="Wingdings 2" w:char="F098"/>
            </w:r>
            <w:r>
              <w:rPr>
                <w:rFonts w:hint="eastAsia" w:asciiTheme="minorEastAsia" w:hAnsiTheme="minorEastAsia" w:eastAsiaTheme="minorEastAsia"/>
                <w:sz w:val="20"/>
                <w:szCs w:val="20"/>
              </w:rPr>
              <w:t>质量手册规定了需确认过程识别的要求，提供《过程确认准则》。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ind w:firstLine="100" w:firstLineChars="50"/>
              <w:rPr>
                <w:rFonts w:hint="eastAsia" w:ascii="楷体" w:hAnsi="楷体" w:eastAsia="楷体" w:cs="楷体"/>
                <w:sz w:val="21"/>
                <w:szCs w:val="21"/>
              </w:rPr>
            </w:pPr>
            <w:r>
              <w:rPr>
                <w:rFonts w:hint="eastAsia" w:asciiTheme="minorEastAsia" w:hAnsiTheme="minorEastAsia" w:eastAsiaTheme="minorEastAsia" w:cstheme="minorEastAsia"/>
                <w:sz w:val="20"/>
                <w:szCs w:val="20"/>
              </w:rPr>
              <w:t>客户要求，</w:t>
            </w:r>
            <w:r>
              <w:rPr>
                <w:rFonts w:hint="eastAsia" w:ascii="楷体" w:hAnsi="楷体" w:eastAsia="楷体" w:cs="楷体"/>
                <w:sz w:val="21"/>
                <w:szCs w:val="21"/>
              </w:rPr>
              <w:t>GB/T 13663</w:t>
            </w:r>
            <w:r>
              <w:rPr>
                <w:rFonts w:hint="eastAsia" w:ascii="楷体" w:hAnsi="楷体" w:eastAsia="楷体" w:cs="楷体"/>
                <w:sz w:val="21"/>
                <w:szCs w:val="21"/>
              </w:rPr>
              <w:tab/>
            </w:r>
            <w:r>
              <w:rPr>
                <w:rFonts w:hint="eastAsia" w:ascii="楷体" w:hAnsi="楷体" w:eastAsia="楷体" w:cs="楷体"/>
                <w:sz w:val="21"/>
                <w:szCs w:val="21"/>
              </w:rPr>
              <w:t>给水用聚乙烯（PE）管材</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20041.1</w:t>
            </w:r>
            <w:r>
              <w:rPr>
                <w:rFonts w:hint="eastAsia" w:ascii="楷体" w:hAnsi="楷体" w:eastAsia="楷体" w:cs="楷体"/>
                <w:sz w:val="21"/>
                <w:szCs w:val="21"/>
              </w:rPr>
              <w:tab/>
            </w:r>
            <w:r>
              <w:rPr>
                <w:rFonts w:hint="eastAsia" w:ascii="楷体" w:hAnsi="楷体" w:eastAsia="楷体" w:cs="楷体"/>
                <w:sz w:val="21"/>
                <w:szCs w:val="21"/>
              </w:rPr>
              <w:t>电缆管理用导管系统  第1部分：通用要求</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9647</w:t>
            </w:r>
            <w:r>
              <w:rPr>
                <w:rFonts w:hint="eastAsia" w:ascii="楷体" w:hAnsi="楷体" w:eastAsia="楷体" w:cs="楷体"/>
                <w:sz w:val="21"/>
                <w:szCs w:val="21"/>
              </w:rPr>
              <w:tab/>
            </w:r>
            <w:r>
              <w:rPr>
                <w:rFonts w:hint="eastAsia" w:ascii="楷体" w:hAnsi="楷体" w:eastAsia="楷体" w:cs="楷体"/>
                <w:sz w:val="21"/>
                <w:szCs w:val="21"/>
              </w:rPr>
              <w:t>热塑性塑料管材环刚度的测定</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8802</w:t>
            </w:r>
            <w:r>
              <w:rPr>
                <w:rFonts w:hint="eastAsia" w:ascii="楷体" w:hAnsi="楷体" w:eastAsia="楷体" w:cs="楷体"/>
                <w:sz w:val="21"/>
                <w:szCs w:val="21"/>
              </w:rPr>
              <w:tab/>
            </w:r>
            <w:r>
              <w:rPr>
                <w:rFonts w:hint="eastAsia" w:ascii="楷体" w:hAnsi="楷体" w:eastAsia="楷体" w:cs="楷体"/>
                <w:sz w:val="21"/>
                <w:szCs w:val="21"/>
              </w:rPr>
              <w:t>热塑性塑料管材、管件维卡软化温度的测定</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1033.1</w:t>
            </w:r>
            <w:r>
              <w:rPr>
                <w:rFonts w:hint="eastAsia" w:ascii="楷体" w:hAnsi="楷体" w:eastAsia="楷体" w:cs="楷体"/>
                <w:sz w:val="21"/>
                <w:szCs w:val="21"/>
              </w:rPr>
              <w:tab/>
            </w:r>
            <w:r>
              <w:rPr>
                <w:rFonts w:hint="eastAsia" w:ascii="楷体" w:hAnsi="楷体" w:eastAsia="楷体" w:cs="楷体"/>
                <w:sz w:val="21"/>
                <w:szCs w:val="21"/>
              </w:rPr>
              <w:t>塑料 非泡沫塑料密度的测定 第1部分：浸渍法、液体比重瓶法和滴定法</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1633</w:t>
            </w:r>
            <w:r>
              <w:rPr>
                <w:rFonts w:hint="eastAsia" w:ascii="楷体" w:hAnsi="楷体" w:eastAsia="楷体" w:cs="楷体"/>
                <w:sz w:val="21"/>
                <w:szCs w:val="21"/>
              </w:rPr>
              <w:tab/>
            </w:r>
            <w:r>
              <w:rPr>
                <w:rFonts w:hint="eastAsia" w:ascii="楷体" w:hAnsi="楷体" w:eastAsia="楷体" w:cs="楷体"/>
                <w:sz w:val="21"/>
                <w:szCs w:val="21"/>
              </w:rPr>
              <w:t>热塑性塑料软化点(维卡)试验方法</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802.1</w:t>
            </w:r>
            <w:r>
              <w:rPr>
                <w:rFonts w:hint="eastAsia" w:ascii="楷体" w:hAnsi="楷体" w:eastAsia="楷体" w:cs="楷体"/>
                <w:sz w:val="21"/>
                <w:szCs w:val="21"/>
              </w:rPr>
              <w:tab/>
            </w:r>
            <w:r>
              <w:rPr>
                <w:rFonts w:hint="eastAsia" w:ascii="楷体" w:hAnsi="楷体" w:eastAsia="楷体" w:cs="楷体"/>
                <w:sz w:val="21"/>
                <w:szCs w:val="21"/>
              </w:rPr>
              <w:t>电力电缆用导管技术条件 第1部分：总则</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802.2</w:t>
            </w:r>
            <w:r>
              <w:rPr>
                <w:rFonts w:hint="eastAsia" w:ascii="楷体" w:hAnsi="楷体" w:eastAsia="楷体" w:cs="楷体"/>
                <w:sz w:val="21"/>
                <w:szCs w:val="21"/>
              </w:rPr>
              <w:tab/>
            </w:r>
            <w:r>
              <w:rPr>
                <w:rFonts w:hint="eastAsia" w:ascii="楷体" w:hAnsi="楷体" w:eastAsia="楷体" w:cs="楷体"/>
                <w:sz w:val="21"/>
                <w:szCs w:val="21"/>
              </w:rPr>
              <w:t>电力电缆用导管技术条件 第2部分：玻璃纤维增强塑料电缆导管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802.3</w:t>
            </w:r>
            <w:r>
              <w:rPr>
                <w:rFonts w:hint="eastAsia" w:ascii="楷体" w:hAnsi="楷体" w:eastAsia="楷体" w:cs="楷体"/>
                <w:sz w:val="21"/>
                <w:szCs w:val="21"/>
              </w:rPr>
              <w:tab/>
            </w:r>
            <w:r>
              <w:rPr>
                <w:rFonts w:hint="eastAsia" w:ascii="楷体" w:hAnsi="楷体" w:eastAsia="楷体" w:cs="楷体"/>
                <w:sz w:val="21"/>
                <w:szCs w:val="21"/>
              </w:rPr>
              <w:t>电力电缆用导管技术条件 第3部分：氯化聚氯乙烯及硬聚氯乙烯塑料电缆导管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802.4</w:t>
            </w:r>
            <w:r>
              <w:rPr>
                <w:rFonts w:hint="eastAsia" w:ascii="楷体" w:hAnsi="楷体" w:eastAsia="楷体" w:cs="楷体"/>
                <w:sz w:val="21"/>
                <w:szCs w:val="21"/>
              </w:rPr>
              <w:tab/>
            </w:r>
            <w:r>
              <w:rPr>
                <w:rFonts w:hint="eastAsia" w:ascii="楷体" w:hAnsi="楷体" w:eastAsia="楷体" w:cs="楷体"/>
                <w:sz w:val="21"/>
                <w:szCs w:val="21"/>
              </w:rPr>
              <w:t>电力电缆用导管技术条件 第4部分：氯化聚氯乙烯及硬聚氯乙烯塑料双壁波纹电缆导管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802.5</w:t>
            </w:r>
            <w:r>
              <w:rPr>
                <w:rFonts w:hint="eastAsia" w:ascii="楷体" w:hAnsi="楷体" w:eastAsia="楷体" w:cs="楷体"/>
                <w:sz w:val="21"/>
                <w:szCs w:val="21"/>
              </w:rPr>
              <w:tab/>
            </w:r>
            <w:r>
              <w:rPr>
                <w:rFonts w:hint="eastAsia" w:ascii="楷体" w:hAnsi="楷体" w:eastAsia="楷体" w:cs="楷体"/>
                <w:sz w:val="21"/>
                <w:szCs w:val="21"/>
              </w:rPr>
              <w:t>电力电缆用导管技术条件 第5部分：纤维水泥电缆导管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802.6</w:t>
            </w:r>
            <w:r>
              <w:rPr>
                <w:rFonts w:hint="eastAsia" w:ascii="楷体" w:hAnsi="楷体" w:eastAsia="楷体" w:cs="楷体"/>
                <w:sz w:val="21"/>
                <w:szCs w:val="21"/>
              </w:rPr>
              <w:tab/>
            </w:r>
            <w:r>
              <w:rPr>
                <w:rFonts w:hint="eastAsia" w:ascii="楷体" w:hAnsi="楷体" w:eastAsia="楷体" w:cs="楷体"/>
                <w:sz w:val="21"/>
                <w:szCs w:val="21"/>
              </w:rPr>
              <w:t>电力电缆用导管技术条件 第6部分：承插式混凝土预制电缆导管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802.7</w:t>
            </w:r>
            <w:r>
              <w:rPr>
                <w:rFonts w:hint="eastAsia" w:ascii="楷体" w:hAnsi="楷体" w:eastAsia="楷体" w:cs="楷体"/>
                <w:sz w:val="21"/>
                <w:szCs w:val="21"/>
              </w:rPr>
              <w:tab/>
            </w:r>
            <w:r>
              <w:rPr>
                <w:rFonts w:hint="eastAsia" w:ascii="楷体" w:hAnsi="楷体" w:eastAsia="楷体" w:cs="楷体"/>
                <w:sz w:val="21"/>
                <w:szCs w:val="21"/>
              </w:rPr>
              <w:t>电力电缆用导管技术条件 第7部分：非开挖用改性聚丙烯塑料电缆导管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802.8</w:t>
            </w:r>
            <w:r>
              <w:rPr>
                <w:rFonts w:hint="eastAsia" w:ascii="楷体" w:hAnsi="楷体" w:eastAsia="楷体" w:cs="楷体"/>
                <w:sz w:val="21"/>
                <w:szCs w:val="21"/>
              </w:rPr>
              <w:tab/>
            </w:r>
            <w:r>
              <w:rPr>
                <w:rFonts w:hint="eastAsia" w:ascii="楷体" w:hAnsi="楷体" w:eastAsia="楷体" w:cs="楷体"/>
                <w:sz w:val="21"/>
                <w:szCs w:val="21"/>
              </w:rPr>
              <w:t>电力电缆用导管技术条件 第8部分：埋地用改性聚丙烯塑料单壁波纹电缆导管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Q/GDW 11381</w:t>
            </w:r>
            <w:r>
              <w:rPr>
                <w:rFonts w:hint="eastAsia" w:ascii="楷体" w:hAnsi="楷体" w:eastAsia="楷体" w:cs="楷体"/>
                <w:sz w:val="21"/>
                <w:szCs w:val="21"/>
              </w:rPr>
              <w:tab/>
            </w:r>
            <w:r>
              <w:rPr>
                <w:rFonts w:hint="eastAsia" w:ascii="楷体" w:hAnsi="楷体" w:eastAsia="楷体" w:cs="楷体"/>
                <w:sz w:val="21"/>
                <w:szCs w:val="21"/>
              </w:rPr>
              <w:t>电缆保护管选型技术原则和检测技术规范</w:t>
            </w:r>
          </w:p>
          <w:p>
            <w:pPr>
              <w:spacing w:line="276" w:lineRule="auto"/>
              <w:rPr>
                <w:rFonts w:cs="宋体" w:asciiTheme="minorEastAsia" w:hAnsiTheme="minorEastAsia" w:eastAsiaTheme="minorEastAsia"/>
                <w:kern w:val="0"/>
                <w:sz w:val="20"/>
                <w:szCs w:val="20"/>
              </w:rPr>
            </w:pPr>
            <w:r>
              <w:rPr>
                <w:rFonts w:hint="eastAsia" w:asciiTheme="minorEastAsia" w:hAnsiTheme="minorEastAsia" w:eastAsiaTheme="minorEastAsia"/>
                <w:color w:val="333333"/>
                <w:sz w:val="20"/>
                <w:szCs w:val="20"/>
                <w:shd w:val="clear" w:color="auto" w:fill="F2F3F7"/>
                <w:lang w:val="en-US" w:eastAsia="zh-CN"/>
              </w:rPr>
              <w:t>等</w:t>
            </w:r>
            <w:r>
              <w:rPr>
                <w:rFonts w:hint="eastAsia" w:asciiTheme="minorEastAsia" w:hAnsiTheme="minorEastAsia" w:eastAsiaTheme="minorEastAsia"/>
                <w:color w:val="333333"/>
                <w:sz w:val="20"/>
                <w:szCs w:val="20"/>
                <w:shd w:val="clear" w:color="auto" w:fill="F2F3F7"/>
              </w:rPr>
              <w:t>标准相关内容</w:t>
            </w:r>
            <w:r>
              <w:rPr>
                <w:rFonts w:hint="eastAsia" w:cs="宋体" w:asciiTheme="minorEastAsia" w:hAnsiTheme="minorEastAsia" w:eastAsiaTheme="minorEastAsia"/>
                <w:kern w:val="0"/>
                <w:sz w:val="20"/>
                <w:szCs w:val="20"/>
              </w:rPr>
              <w:t>进行生产。</w:t>
            </w:r>
          </w:p>
          <w:p>
            <w:pPr>
              <w:rPr>
                <w:b/>
                <w:color w:val="000000" w:themeColor="text1"/>
                <w:sz w:val="20"/>
                <w:szCs w:val="20"/>
              </w:rPr>
            </w:pPr>
            <w:r>
              <w:rPr>
                <w:rFonts w:hint="eastAsia" w:asciiTheme="minorEastAsia" w:hAnsiTheme="minorEastAsia" w:eastAsiaTheme="minorEastAsia" w:cstheme="minorEastAsia"/>
                <w:sz w:val="20"/>
                <w:szCs w:val="20"/>
              </w:rPr>
              <w:t xml:space="preserve"> 目前，提供给客户的产品均合格</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rPr>
                <w:rFonts w:hint="eastAsia" w:ascii="楷体" w:hAnsi="楷体" w:eastAsia="楷体" w:cs="楷体"/>
                <w:sz w:val="21"/>
                <w:szCs w:val="21"/>
                <w:lang w:eastAsia="zh-CN"/>
              </w:rPr>
            </w:pPr>
            <w:r>
              <w:rPr>
                <w:rFonts w:hint="eastAsia" w:ascii="楷体" w:hAnsi="楷体" w:eastAsia="楷体" w:cs="楷体"/>
                <w:sz w:val="21"/>
                <w:szCs w:val="21"/>
              </w:rPr>
              <w:t>●企业提供了第三方检验报告</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型式检验</w:t>
            </w:r>
            <w:r>
              <w:rPr>
                <w:rFonts w:hint="eastAsia" w:ascii="楷体" w:hAnsi="楷体" w:eastAsia="楷体" w:cs="楷体"/>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报告编号：</w:t>
            </w:r>
            <w:r>
              <w:rPr>
                <w:rFonts w:hint="eastAsia" w:ascii="楷体" w:hAnsi="楷体" w:eastAsia="楷体" w:cs="楷体"/>
                <w:sz w:val="21"/>
                <w:szCs w:val="21"/>
                <w:lang w:val="en-US" w:eastAsia="zh-CN"/>
              </w:rPr>
              <w:t>JS2020TD1383</w:t>
            </w:r>
          </w:p>
          <w:p>
            <w:pPr>
              <w:rPr>
                <w:rFonts w:hint="eastAsia" w:ascii="楷体" w:hAnsi="楷体" w:eastAsia="楷体" w:cs="楷体"/>
                <w:sz w:val="21"/>
                <w:szCs w:val="21"/>
              </w:rPr>
            </w:pPr>
            <w:r>
              <w:rPr>
                <w:rFonts w:hint="eastAsia" w:ascii="楷体" w:hAnsi="楷体" w:eastAsia="楷体" w:cs="楷体"/>
                <w:sz w:val="21"/>
                <w:szCs w:val="21"/>
              </w:rPr>
              <w:t>检验类别:型式检验</w:t>
            </w:r>
          </w:p>
          <w:p>
            <w:pPr>
              <w:rPr>
                <w:rFonts w:hint="eastAsia" w:ascii="楷体" w:hAnsi="楷体" w:eastAsia="楷体" w:cs="楷体"/>
                <w:sz w:val="21"/>
                <w:szCs w:val="21"/>
              </w:rPr>
            </w:pPr>
            <w:r>
              <w:rPr>
                <w:rFonts w:hint="eastAsia" w:ascii="楷体" w:hAnsi="楷体" w:eastAsia="楷体" w:cs="楷体"/>
                <w:sz w:val="21"/>
                <w:szCs w:val="21"/>
              </w:rPr>
              <w:t>检测单位：国建建筑材料工业建筑维护材料及管道产品质量监督检验测试中心</w:t>
            </w:r>
          </w:p>
          <w:p>
            <w:pPr>
              <w:rPr>
                <w:rFonts w:hint="eastAsia" w:ascii="楷体" w:hAnsi="楷体" w:eastAsia="楷体" w:cs="楷体"/>
                <w:sz w:val="21"/>
                <w:szCs w:val="21"/>
              </w:rPr>
            </w:pPr>
            <w:r>
              <w:rPr>
                <w:rFonts w:hint="eastAsia" w:ascii="楷体" w:hAnsi="楷体" w:eastAsia="楷体" w:cs="楷体"/>
                <w:sz w:val="21"/>
                <w:szCs w:val="21"/>
              </w:rPr>
              <w:t>检验日期：20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w:t>
            </w:r>
            <w:r>
              <w:rPr>
                <w:rFonts w:hint="eastAsia" w:ascii="楷体" w:hAnsi="楷体" w:eastAsia="楷体" w:cs="楷体"/>
                <w:sz w:val="21"/>
                <w:szCs w:val="21"/>
                <w:lang w:val="en-US" w:eastAsia="zh-CN"/>
              </w:rPr>
              <w:t>31</w:t>
            </w:r>
            <w:r>
              <w:rPr>
                <w:rFonts w:hint="eastAsia" w:ascii="楷体" w:hAnsi="楷体" w:eastAsia="楷体" w:cs="楷体"/>
                <w:sz w:val="21"/>
                <w:szCs w:val="21"/>
              </w:rPr>
              <w:t>日</w:t>
            </w:r>
          </w:p>
          <w:p>
            <w:pPr>
              <w:spacing w:line="240" w:lineRule="exact"/>
              <w:ind w:firstLine="210" w:firstLineChars="100"/>
              <w:rPr>
                <w:b/>
                <w:color w:val="000000" w:themeColor="text1"/>
                <w:sz w:val="20"/>
                <w:szCs w:val="20"/>
              </w:rPr>
            </w:pPr>
            <w:r>
              <w:rPr>
                <w:rFonts w:hint="eastAsia" w:ascii="楷体" w:hAnsi="楷体" w:eastAsia="楷体" w:cs="楷体"/>
                <w:sz w:val="21"/>
                <w:szCs w:val="21"/>
              </w:rPr>
              <w:t>其余内容详见检验报告复印件</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楷体" w:hAnsi="楷体" w:eastAsia="楷体" w:cs="楷体"/>
                <w:sz w:val="21"/>
                <w:szCs w:val="21"/>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楷体" w:hAnsi="楷体" w:eastAsia="楷体" w:cs="楷体"/>
                <w:sz w:val="21"/>
                <w:szCs w:val="21"/>
              </w:rPr>
              <w:t>提供了文件化可分解的目标、指标，经查问分解到各部门，经查阅建立的管理目标符合标准要求，在方针的框架下展开，每季度考核一次，查看2020年</w:t>
            </w:r>
            <w:r>
              <w:rPr>
                <w:rFonts w:hint="eastAsia" w:ascii="楷体" w:hAnsi="楷体" w:eastAsia="楷体" w:cs="楷体"/>
                <w:sz w:val="21"/>
                <w:szCs w:val="21"/>
                <w:lang w:val="en-US" w:eastAsia="zh-CN"/>
              </w:rPr>
              <w:t>3-4</w:t>
            </w:r>
            <w:r>
              <w:rPr>
                <w:rFonts w:hint="eastAsia" w:ascii="楷体" w:hAnsi="楷体" w:eastAsia="楷体" w:cs="楷体"/>
                <w:sz w:val="21"/>
                <w:szCs w:val="21"/>
              </w:rPr>
              <w:t>季度的考核结果，经查目标完成。并制定了管理方案，经查已完成，符合要求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0" w:hanging="105" w:hangingChars="50"/>
              <w:rPr>
                <w:b/>
                <w:color w:val="000000" w:themeColor="text1"/>
                <w:sz w:val="20"/>
                <w:szCs w:val="20"/>
              </w:rPr>
            </w:pPr>
            <w:r>
              <w:rPr>
                <w:rFonts w:hint="eastAsia" w:ascii="楷体" w:hAnsi="楷体" w:eastAsia="楷体" w:cs="楷体"/>
                <w:sz w:val="21"/>
                <w:szCs w:val="21"/>
                <w:lang w:val="zh-CN"/>
              </w:rPr>
              <w:t>公司通过电话，走访等形式，接受顾客反馈，了解顾客顾客满意度信息，发放调查表对顾客满意度进行定量测量。提供“顾客满意程度调查表”，调查主要内容：</w:t>
            </w:r>
            <w:r>
              <w:rPr>
                <w:rFonts w:hint="eastAsia" w:ascii="楷体" w:hAnsi="楷体" w:eastAsia="楷体" w:cs="楷体"/>
                <w:sz w:val="21"/>
                <w:szCs w:val="21"/>
              </w:rPr>
              <w:t>质量、价格、性能、服务等方面的满意程度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各项得分求平均值得最终结果</w:t>
            </w:r>
            <w:r>
              <w:rPr>
                <w:rFonts w:hint="eastAsia" w:ascii="楷体" w:hAnsi="楷体" w:eastAsia="楷体" w:cs="楷体"/>
                <w:sz w:val="21"/>
                <w:szCs w:val="21"/>
                <w:lang w:val="zh-CN"/>
              </w:rPr>
              <w:t>。</w:t>
            </w:r>
            <w:r>
              <w:rPr>
                <w:rFonts w:hint="eastAsia" w:ascii="楷体" w:hAnsi="楷体" w:eastAsia="楷体" w:cs="楷体"/>
                <w:sz w:val="21"/>
                <w:szCs w:val="21"/>
              </w:rPr>
              <w:t>提供顾客满意调查分析。最终顾客满意率</w:t>
            </w:r>
            <w:r>
              <w:rPr>
                <w:rFonts w:hint="eastAsia" w:ascii="楷体" w:hAnsi="楷体" w:eastAsia="楷体" w:cs="楷体"/>
                <w:sz w:val="21"/>
                <w:szCs w:val="21"/>
                <w:lang w:val="en-US" w:eastAsia="zh-CN"/>
              </w:rPr>
              <w:t>100</w:t>
            </w:r>
            <w:r>
              <w:rPr>
                <w:rFonts w:hint="eastAsia" w:ascii="楷体" w:hAnsi="楷体" w:eastAsia="楷体" w:cs="楷体"/>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hint="eastAsia" w:ascii="楷体" w:hAnsi="楷体" w:eastAsia="楷体" w:cs="楷体"/>
                <w:color w:val="000000" w:themeColor="text1"/>
                <w:spacing w:val="-8"/>
                <w:sz w:val="21"/>
                <w:szCs w:val="21"/>
              </w:rPr>
            </w:pPr>
            <w:r>
              <w:rPr>
                <w:rFonts w:hint="eastAsia" w:ascii="楷体" w:hAnsi="楷体" w:eastAsia="楷体" w:cs="楷体"/>
                <w:color w:val="000000" w:themeColor="text1"/>
                <w:spacing w:val="-8"/>
                <w:sz w:val="21"/>
                <w:szCs w:val="21"/>
              </w:rPr>
              <w:t xml:space="preserve">按照策划的安排于 2020 年 </w:t>
            </w:r>
            <w:r>
              <w:rPr>
                <w:rFonts w:hint="eastAsia" w:ascii="楷体" w:hAnsi="楷体" w:eastAsia="楷体" w:cs="楷体"/>
                <w:color w:val="000000" w:themeColor="text1"/>
                <w:spacing w:val="-8"/>
                <w:sz w:val="21"/>
                <w:szCs w:val="21"/>
                <w:lang w:val="en-US" w:eastAsia="zh-CN"/>
              </w:rPr>
              <w:t>12</w:t>
            </w:r>
            <w:r>
              <w:rPr>
                <w:rFonts w:hint="eastAsia" w:ascii="楷体" w:hAnsi="楷体" w:eastAsia="楷体" w:cs="楷体"/>
                <w:color w:val="000000" w:themeColor="text1"/>
                <w:spacing w:val="-8"/>
                <w:sz w:val="21"/>
                <w:szCs w:val="21"/>
              </w:rPr>
              <w:t xml:space="preserve">月 </w:t>
            </w:r>
            <w:r>
              <w:rPr>
                <w:rFonts w:hint="eastAsia" w:ascii="楷体" w:hAnsi="楷体" w:eastAsia="楷体" w:cs="楷体"/>
                <w:color w:val="000000" w:themeColor="text1"/>
                <w:spacing w:val="-8"/>
                <w:sz w:val="21"/>
                <w:szCs w:val="21"/>
                <w:lang w:val="en-US" w:eastAsia="zh-CN"/>
              </w:rPr>
              <w:t>10-11</w:t>
            </w:r>
            <w:r>
              <w:rPr>
                <w:rFonts w:hint="eastAsia" w:ascii="楷体" w:hAnsi="楷体" w:eastAsia="楷体" w:cs="楷体"/>
                <w:color w:val="000000" w:themeColor="text1"/>
                <w:spacing w:val="-8"/>
                <w:sz w:val="21"/>
                <w:szCs w:val="21"/>
              </w:rPr>
              <w:t>日进行了一次集中式的内部审核，经查阅资料及与管代沟通，内审 员没有审核自己的工作，查阅内审记录，符合策划安排，提出 1项不符合，分别在7.1.</w:t>
            </w:r>
            <w:r>
              <w:rPr>
                <w:rFonts w:hint="eastAsia" w:ascii="楷体" w:hAnsi="楷体" w:eastAsia="楷体" w:cs="楷体"/>
                <w:color w:val="000000" w:themeColor="text1"/>
                <w:spacing w:val="-8"/>
                <w:sz w:val="21"/>
                <w:szCs w:val="21"/>
                <w:lang w:val="en-US" w:eastAsia="zh-CN"/>
              </w:rPr>
              <w:t>5</w:t>
            </w:r>
            <w:r>
              <w:rPr>
                <w:rFonts w:hint="eastAsia" w:ascii="楷体" w:hAnsi="楷体" w:eastAsia="楷体" w:cs="楷体"/>
                <w:color w:val="000000" w:themeColor="text1"/>
                <w:spacing w:val="-8"/>
                <w:sz w:val="21"/>
                <w:szCs w:val="21"/>
              </w:rPr>
              <w:t>条款，责任部门进行了分析原因、 采取纠正/纠正措施并验证了有效性，内审报告中对管理体系的符合性、充分性和运行有效性进行了评价。</w:t>
            </w:r>
          </w:p>
          <w:p>
            <w:pPr>
              <w:spacing w:line="240" w:lineRule="exact"/>
              <w:rPr>
                <w:rFonts w:hint="eastAsia" w:ascii="楷体" w:hAnsi="楷体" w:eastAsia="楷体" w:cs="楷体"/>
                <w:color w:val="000000" w:themeColor="text1"/>
                <w:spacing w:val="-8"/>
                <w:sz w:val="21"/>
                <w:szCs w:val="21"/>
              </w:rPr>
            </w:pPr>
            <w:r>
              <w:rPr>
                <w:rFonts w:hint="eastAsia" w:ascii="楷体" w:hAnsi="楷体" w:eastAsia="楷体" w:cs="楷体"/>
                <w:color w:val="000000" w:themeColor="text1"/>
                <w:spacing w:val="-8"/>
                <w:sz w:val="21"/>
                <w:szCs w:val="21"/>
              </w:rPr>
              <w:t xml:space="preserve"> 内审符合要求。</w:t>
            </w:r>
          </w:p>
          <w:p>
            <w:pPr>
              <w:spacing w:line="240" w:lineRule="exact"/>
              <w:rPr>
                <w:rFonts w:hint="eastAsia" w:ascii="楷体" w:hAnsi="楷体" w:eastAsia="楷体" w:cs="楷体"/>
                <w:b/>
                <w:color w:val="000000" w:themeColor="text1"/>
                <w:spacing w:val="-8"/>
                <w:sz w:val="21"/>
                <w:szCs w:val="21"/>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楷体" w:hAnsi="楷体" w:eastAsia="楷体" w:cs="楷体"/>
                <w:color w:val="000000" w:themeColor="text1"/>
                <w:sz w:val="21"/>
                <w:szCs w:val="21"/>
              </w:rPr>
              <w:t xml:space="preserve">按照策划的安排于 2020 年 </w:t>
            </w:r>
            <w:r>
              <w:rPr>
                <w:rFonts w:hint="eastAsia" w:ascii="楷体" w:hAnsi="楷体" w:eastAsia="楷体" w:cs="楷体"/>
                <w:color w:val="000000" w:themeColor="text1"/>
                <w:sz w:val="21"/>
                <w:szCs w:val="21"/>
                <w:lang w:val="en-US" w:eastAsia="zh-CN"/>
              </w:rPr>
              <w:t>12</w:t>
            </w:r>
            <w:r>
              <w:rPr>
                <w:rFonts w:hint="eastAsia" w:ascii="楷体" w:hAnsi="楷体" w:eastAsia="楷体" w:cs="楷体"/>
                <w:color w:val="000000" w:themeColor="text1"/>
                <w:sz w:val="21"/>
                <w:szCs w:val="21"/>
              </w:rPr>
              <w:t xml:space="preserve"> 月 </w:t>
            </w:r>
            <w:r>
              <w:rPr>
                <w:rFonts w:hint="eastAsia" w:ascii="楷体" w:hAnsi="楷体" w:eastAsia="楷体" w:cs="楷体"/>
                <w:color w:val="000000" w:themeColor="text1"/>
                <w:sz w:val="21"/>
                <w:szCs w:val="21"/>
                <w:lang w:val="en-US" w:eastAsia="zh-CN"/>
              </w:rPr>
              <w:t>20</w:t>
            </w:r>
            <w:r>
              <w:rPr>
                <w:rFonts w:hint="eastAsia" w:ascii="楷体" w:hAnsi="楷体" w:eastAsia="楷体" w:cs="楷体"/>
                <w:color w:val="000000" w:themeColor="text1"/>
                <w:sz w:val="21"/>
                <w:szCs w:val="21"/>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楷体" w:hAnsi="楷体" w:eastAsia="楷体" w:cs="楷体"/>
                <w:color w:val="000000" w:themeColor="text1"/>
                <w:sz w:val="21"/>
                <w:szCs w:val="21"/>
              </w:rPr>
              <w:t>对内审提出的不符合进行原因分析，并完成了整改。对管理评审提出的不符合及改进要求，进行原 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val="en-US" w:eastAsia="zh-CN"/>
        </w:rPr>
        <w:t>综合</w:t>
      </w:r>
      <w:r>
        <w:rPr>
          <w:rFonts w:hint="eastAsia"/>
          <w:b/>
          <w:color w:val="000000" w:themeColor="text1"/>
        </w:rPr>
        <w:t>部门</w:t>
      </w:r>
      <w:r>
        <w:rPr>
          <w:rFonts w:hint="eastAsia"/>
          <w:b/>
          <w:color w:val="000000" w:themeColor="text1"/>
          <w:lang w:val="en-US" w:eastAsia="zh-CN"/>
        </w:rPr>
        <w:t>8.4</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根据审核发现，审核组一致认为，</w:t>
            </w:r>
            <w:r>
              <w:rPr>
                <w:rFonts w:hint="eastAsia" w:ascii="楷体" w:hAnsi="楷体" w:eastAsia="楷体" w:cs="楷体"/>
                <w:sz w:val="21"/>
                <w:szCs w:val="21"/>
              </w:rPr>
              <w:t>河北上晟管业有限公司</w:t>
            </w:r>
            <w:r>
              <w:rPr>
                <w:rFonts w:hint="eastAsia" w:ascii="楷体" w:hAnsi="楷体" w:eastAsia="楷体" w:cs="楷体"/>
                <w:color w:val="000000" w:themeColor="text1"/>
                <w:sz w:val="21"/>
                <w:szCs w:val="21"/>
              </w:rPr>
              <w:t xml:space="preserve">的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■质量□环境□职业健康安全□食品安全 管理体系： </w:t>
            </w:r>
          </w:p>
          <w:p>
            <w:pPr>
              <w:spacing w:line="240" w:lineRule="exact"/>
              <w:ind w:firstLine="840" w:firstLineChars="4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审核准则的要求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■符合 □不符合 适用要求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■满足 □不满足 实现预期结果的能力</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■满足 □不满足 内部审核和管理评审过程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■有效 □无效 审核目的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■达到 □未达到 体系运行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■有效 □无效</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rPr>
          <w:rFonts w:hint="eastAsia"/>
          <w:b/>
          <w:color w:val="000000" w:themeColor="text1"/>
          <w:sz w:val="26"/>
          <w:szCs w:val="26"/>
        </w:rPr>
        <w:drawing>
          <wp:inline distT="0" distB="0" distL="0" distR="0">
            <wp:extent cx="563245" cy="168275"/>
            <wp:effectExtent l="0" t="0" r="825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6"/>
                    <a:srcRect/>
                    <a:stretch>
                      <a:fillRect/>
                    </a:stretch>
                  </pic:blipFill>
                  <pic:spPr>
                    <a:xfrm>
                      <a:off x="0" y="0"/>
                      <a:ext cx="563245" cy="168275"/>
                    </a:xfrm>
                    <a:prstGeom prst="rect">
                      <a:avLst/>
                    </a:prstGeom>
                    <a:noFill/>
                    <a:ln w="9525">
                      <a:noFill/>
                      <a:miter lim="800000"/>
                      <a:headEnd/>
                      <a:tailEnd/>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drawing>
          <wp:inline distT="0" distB="0" distL="0" distR="0">
            <wp:extent cx="563245" cy="168275"/>
            <wp:effectExtent l="0" t="0" r="825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a:srcRect/>
                    <a:stretch>
                      <a:fillRect/>
                    </a:stretch>
                  </pic:blipFill>
                  <pic:spPr>
                    <a:xfrm>
                      <a:off x="0" y="0"/>
                      <a:ext cx="563245" cy="168275"/>
                    </a:xfrm>
                    <a:prstGeom prst="rect">
                      <a:avLst/>
                    </a:prstGeom>
                    <a:noFill/>
                    <a:ln w="9525">
                      <a:noFill/>
                      <a:miter lim="800000"/>
                      <a:headEnd/>
                      <a:tailEnd/>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30</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 w:val="26"/>
          <w:szCs w:val="26"/>
        </w:rPr>
        <w:drawing>
          <wp:inline distT="0" distB="0" distL="0" distR="0">
            <wp:extent cx="563245" cy="168275"/>
            <wp:effectExtent l="0" t="0" r="825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6"/>
                    <a:srcRect/>
                    <a:stretch>
                      <a:fillRect/>
                    </a:stretch>
                  </pic:blipFill>
                  <pic:spPr>
                    <a:xfrm>
                      <a:off x="0" y="0"/>
                      <a:ext cx="563245" cy="168275"/>
                    </a:xfrm>
                    <a:prstGeom prst="rect">
                      <a:avLst/>
                    </a:prstGeom>
                    <a:noFill/>
                    <a:ln w="9525">
                      <a:noFill/>
                      <a:miter lim="800000"/>
                      <a:headEnd/>
                      <a:tailEnd/>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31</w:t>
      </w:r>
      <w:bookmarkStart w:id="22" w:name="_GoBack"/>
      <w:bookmarkEnd w:id="22"/>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1B69F"/>
    <w:multiLevelType w:val="singleLevel"/>
    <w:tmpl w:val="DC81B69F"/>
    <w:lvl w:ilvl="0" w:tentative="0">
      <w:start w:val="2"/>
      <w:numFmt w:val="decimal"/>
      <w:suff w:val="nothing"/>
      <w:lvlText w:val="%1、"/>
      <w:lvlJc w:val="left"/>
    </w:lvl>
  </w:abstractNum>
  <w:abstractNum w:abstractNumId="1">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1D7A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2021-03-30T06:56:00Z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3A8E09BA22D24B388A6E125B62A3236A</vt:lpwstr>
  </property>
</Properties>
</file>