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0071-2021-QEO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辽宁省玖泰控股集团有限公司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Liaoning Jiutai Holding Group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辽宁省沈阳市皇姑区梅江街27号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110038</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辽宁省沈阳市皇姑区梅江街27号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110038</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91210114MA0TPP3319</w:t>
      </w:r>
      <w:bookmarkEnd w:id="7"/>
      <w:r>
        <w:rPr>
          <w:rFonts w:hint="eastAsia"/>
          <w:b/>
          <w:color w:val="000000" w:themeColor="text1"/>
          <w:sz w:val="22"/>
          <w:szCs w:val="22"/>
        </w:rPr>
        <w:t>传真：</w:t>
      </w:r>
      <w:bookmarkStart w:id="8" w:name="联系人传真"/>
      <w:r>
        <w:rPr>
          <w:rFonts w:hint="eastAsia"/>
          <w:b/>
          <w:color w:val="000000" w:themeColor="text1"/>
          <w:sz w:val="22"/>
          <w:szCs w:val="22"/>
        </w:rPr>
        <w:t>024--31032055</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024--31032055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李季</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邱晓媛</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Q：物业管理</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E：物业管理所涉及场所的相关环境管理活动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O：物业管理所涉及场所的相关职业健康安全管理活动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