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12865" cy="9097010"/>
            <wp:effectExtent l="0" t="0" r="635" b="8890"/>
            <wp:docPr id="4" name="图片 4" descr="新文档 2021-03-30 11.00.4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1-03-30 11.00.45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62065" cy="9108440"/>
            <wp:effectExtent l="0" t="0" r="635" b="10160"/>
            <wp:docPr id="5" name="图片 5" descr="新文档 2021-03-30 11.00.4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1-03-30 11.00.45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91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84"/>
        <w:gridCol w:w="45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九江耀辉航海仪器发展有限公司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江西省九江市经济技术开发区城西港区光电产业园5号厂房一楼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余涵兵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17879866868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411530721@QQ.com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余涵兵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0066-2020-Q-2021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船舶用仪器（239方位仪、航海六分仪）的设计、生产和销售以及方位圈的加工。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19.05.01;29.12.00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2021年03月30日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2021年03月31日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3175</wp:posOffset>
                  </wp:positionV>
                  <wp:extent cx="1251585" cy="602615"/>
                  <wp:effectExtent l="0" t="0" r="0" b="762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84"/>
        <w:gridCol w:w="45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九江耀辉航海仪器发展有限公司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江西省九江市经济技术开发区城西港区光电产业园5号厂房一楼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余涵兵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17879866868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411530721@QQ.com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余涵兵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0066-2020-Q-2021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9" w:name="_GoBack"/>
            <w:r>
              <w:rPr>
                <w:rFonts w:hint="eastAsia" w:ascii="宋体" w:hAnsi="宋体"/>
                <w:color w:val="0000FF"/>
                <w:sz w:val="21"/>
                <w:szCs w:val="21"/>
              </w:rPr>
              <w:t>液压系统配件</w:t>
            </w:r>
            <w:bookmarkEnd w:id="19"/>
            <w:r>
              <w:rPr>
                <w:rFonts w:hint="eastAsia" w:ascii="宋体" w:hAnsi="宋体"/>
                <w:color w:val="0000FF"/>
                <w:sz w:val="21"/>
                <w:szCs w:val="21"/>
              </w:rPr>
              <w:t>、船舶用仪器（239方位仪、航海六分仪、方位圈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三杆分度仪）的生产和销售及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卫星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罗经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磁罗经投影光管、分罗经、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计程仪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倾斜仪、平行尺的销售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17.10.02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sz w:val="20"/>
              </w:rPr>
              <w:t>19.05.01;29.12.00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 xml:space="preserve">现场审核于2021年03月30日 上午至2021年03月31日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 xml:space="preserve">午，共 </w:t>
            </w:r>
            <w:r>
              <w:rPr>
                <w:rFonts w:hint="eastAsia"/>
                <w:b/>
                <w:sz w:val="20"/>
                <w:lang w:val="en-US" w:eastAsia="zh-CN"/>
              </w:rPr>
              <w:t>2.0</w:t>
            </w:r>
            <w:r>
              <w:rPr>
                <w:rFonts w:hint="eastAsia"/>
                <w:b/>
                <w:sz w:val="20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17.10.02</w:t>
            </w:r>
            <w:r>
              <w:rPr>
                <w:rFonts w:hint="eastAsia"/>
                <w:sz w:val="20"/>
                <w:lang w:eastAsia="zh-CN"/>
              </w:rPr>
              <w:t>，</w:t>
            </w:r>
            <w:r>
              <w:rPr>
                <w:sz w:val="20"/>
              </w:rPr>
              <w:t>19.05.01,29.12.00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3175</wp:posOffset>
                  </wp:positionV>
                  <wp:extent cx="1251585" cy="602615"/>
                  <wp:effectExtent l="0" t="0" r="0" b="762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37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2021.3.30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：组织的岗位、职责权限；目标；监视和测量资源；组织知识；文件化信息；文件总则/管理手册、文件和记录控制；运行的策划和控制；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产品和服务的放行；不合格输出的控制；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5.3/6.2/7.1.5/7.1.6/7.5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8.1/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color w:val="auto"/>
                <w:sz w:val="21"/>
                <w:szCs w:val="21"/>
              </w:rPr>
              <w:t>8.6/8.7/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/>
                <w:color w:val="auto"/>
                <w:sz w:val="21"/>
                <w:szCs w:val="21"/>
              </w:rPr>
              <w:t>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2021.3.31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部：组织的岗位、职责权限；目标；基础设施；运行环境；外部提供的过程、产品和服务的控制；生产和服务提供的控制；标识和可追溯性；产品防护；变更的控制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/8.5.6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部：组织的岗位、职责权限；目标；产品和服务要求；生产和服务提供的控制；顾客或外部供方财产；交付后活动；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color w:val="auto"/>
                <w:sz w:val="21"/>
                <w:szCs w:val="21"/>
              </w:rPr>
              <w:t>8.5.3/8.5.5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75577"/>
    <w:rsid w:val="66246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2021-04-11T15:12:45Z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781EFAF9D76E4F618B59D04A774CDE96</vt:lpwstr>
  </property>
</Properties>
</file>