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 w:val="22"/>
                <w:szCs w:val="21"/>
              </w:rPr>
            </w:pPr>
            <w:r>
              <w:rPr>
                <w:rFonts w:hint="eastAsia" w:ascii="宋体" w:hAnsi="宋体" w:cs="宋体"/>
                <w:sz w:val="22"/>
                <w:szCs w:val="21"/>
              </w:rPr>
              <w:t>受审核部门：管理层  （含安全事务代表）        主管领导：马永胜   管理者代表：吴秋贵</w:t>
            </w:r>
            <w:r>
              <w:rPr>
                <w:rFonts w:ascii="宋体" w:hAnsi="宋体" w:cs="宋体"/>
                <w:sz w:val="22"/>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default" w:ascii="宋体" w:hAnsi="宋体" w:eastAsia="宋体" w:cs="宋体"/>
                <w:sz w:val="22"/>
                <w:szCs w:val="21"/>
                <w:lang w:val="en-US" w:eastAsia="zh-CN"/>
              </w:rPr>
            </w:pPr>
            <w:r>
              <w:rPr>
                <w:rFonts w:hint="eastAsia" w:ascii="宋体" w:hAnsi="宋体" w:cs="宋体"/>
                <w:sz w:val="22"/>
                <w:szCs w:val="21"/>
              </w:rPr>
              <w:t>审核员：李</w:t>
            </w:r>
            <w:r>
              <w:rPr>
                <w:rFonts w:hint="eastAsia" w:ascii="宋体" w:hAnsi="宋体" w:cs="宋体"/>
                <w:sz w:val="22"/>
                <w:szCs w:val="21"/>
                <w:lang w:val="en-US" w:eastAsia="zh-CN"/>
              </w:rPr>
              <w:t>京田</w:t>
            </w:r>
            <w:r>
              <w:rPr>
                <w:rFonts w:hint="eastAsia" w:ascii="宋体" w:hAnsi="宋体" w:cs="宋体"/>
                <w:sz w:val="22"/>
                <w:szCs w:val="21"/>
              </w:rPr>
              <w:t xml:space="preserve">           审核时间：202</w:t>
            </w:r>
            <w:r>
              <w:rPr>
                <w:rFonts w:hint="eastAsia" w:ascii="宋体" w:hAnsi="宋体" w:cs="宋体"/>
                <w:sz w:val="22"/>
                <w:szCs w:val="21"/>
                <w:lang w:val="en-US" w:eastAsia="zh-CN"/>
              </w:rPr>
              <w:t>1.3.28</w:t>
            </w: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审核条款：</w:t>
            </w:r>
          </w:p>
          <w:p>
            <w:pPr>
              <w:rPr>
                <w:rFonts w:ascii="宋体" w:hAnsi="宋体" w:cs="宋体"/>
                <w:sz w:val="22"/>
                <w:szCs w:val="21"/>
              </w:rPr>
            </w:pPr>
            <w:r>
              <w:rPr>
                <w:rFonts w:ascii="宋体" w:hAnsi="宋体" w:cs="宋体"/>
                <w:sz w:val="22"/>
                <w:szCs w:val="21"/>
              </w:rPr>
              <w:t xml:space="preserve">Q:4.1/4.2/4.3/4.4/5.1/5.2/5.3/6.1/6.2/6.3/7.1.1/9.1.1/9.3/10.1/10.3 </w:t>
            </w:r>
          </w:p>
          <w:p>
            <w:pPr>
              <w:rPr>
                <w:rFonts w:ascii="宋体" w:hAnsi="宋体" w:cs="宋体"/>
                <w:sz w:val="22"/>
                <w:szCs w:val="21"/>
              </w:rPr>
            </w:pPr>
            <w:r>
              <w:rPr>
                <w:rFonts w:ascii="宋体" w:hAnsi="宋体" w:cs="宋体"/>
                <w:sz w:val="22"/>
                <w:szCs w:val="21"/>
              </w:rPr>
              <w:t>E:4.1/4.2/4.3/4.4/5.1/5.2/5.3/6.1.1/6.1.4/6.2/7.1/</w:t>
            </w:r>
            <w:r>
              <w:rPr>
                <w:rFonts w:hint="eastAsia" w:ascii="宋体" w:hAnsi="宋体" w:cs="宋体"/>
                <w:sz w:val="22"/>
                <w:szCs w:val="21"/>
              </w:rPr>
              <w:t>7.4/9.1.1/</w:t>
            </w:r>
            <w:r>
              <w:rPr>
                <w:rFonts w:ascii="宋体" w:hAnsi="宋体" w:cs="宋体"/>
                <w:sz w:val="22"/>
                <w:szCs w:val="21"/>
              </w:rPr>
              <w:t>9.3/10.1/10.3</w:t>
            </w:r>
          </w:p>
          <w:p>
            <w:pPr>
              <w:rPr>
                <w:rFonts w:ascii="宋体" w:hAnsi="宋体" w:cs="宋体"/>
                <w:sz w:val="22"/>
                <w:szCs w:val="21"/>
              </w:rPr>
            </w:pPr>
            <w:r>
              <w:rPr>
                <w:rFonts w:ascii="宋体" w:hAnsi="宋体" w:cs="宋体"/>
                <w:sz w:val="22"/>
                <w:szCs w:val="21"/>
              </w:rPr>
              <w:t>S:4.1/4.2/4.3/4.4/5.1/5.2/5.3/</w:t>
            </w:r>
            <w:r>
              <w:rPr>
                <w:rFonts w:hint="eastAsia" w:ascii="宋体" w:hAnsi="宋体" w:cs="宋体"/>
                <w:sz w:val="22"/>
                <w:szCs w:val="21"/>
              </w:rPr>
              <w:t>5.4/</w:t>
            </w:r>
            <w:r>
              <w:rPr>
                <w:rFonts w:ascii="宋体" w:hAnsi="宋体" w:cs="宋体"/>
                <w:sz w:val="22"/>
                <w:szCs w:val="21"/>
              </w:rPr>
              <w:t>6.1.1/6.1.4/6.2/7.1/</w:t>
            </w:r>
            <w:r>
              <w:rPr>
                <w:rFonts w:hint="eastAsia" w:ascii="宋体" w:hAnsi="宋体" w:cs="宋体"/>
                <w:sz w:val="22"/>
                <w:szCs w:val="21"/>
              </w:rPr>
              <w:t>7.4/9.1.1/</w:t>
            </w:r>
            <w:r>
              <w:rPr>
                <w:rFonts w:ascii="宋体" w:hAnsi="宋体" w:cs="宋体"/>
                <w:sz w:val="22"/>
                <w:szCs w:val="21"/>
              </w:rPr>
              <w:t>9.3/10.1/10.</w:t>
            </w:r>
            <w:r>
              <w:rPr>
                <w:rFonts w:hint="eastAsia" w:ascii="宋体" w:hAnsi="宋体" w:cs="宋体"/>
                <w:sz w:val="22"/>
                <w:szCs w:val="21"/>
              </w:rPr>
              <w:t>2</w:t>
            </w:r>
          </w:p>
          <w:p>
            <w:pPr>
              <w:pStyle w:val="2"/>
              <w:rPr>
                <w:rFonts w:ascii="宋体" w:hAnsi="宋体" w:cs="宋体"/>
                <w:bCs w:val="0"/>
                <w:spacing w:val="0"/>
                <w:sz w:val="22"/>
                <w:szCs w:val="21"/>
              </w:rPr>
            </w:pPr>
          </w:p>
          <w:p>
            <w:pPr>
              <w:rPr>
                <w:rFonts w:ascii="宋体" w:hAnsi="宋体" w:cs="宋体"/>
                <w:sz w:val="22"/>
                <w:szCs w:val="21"/>
              </w:rPr>
            </w:pPr>
            <w:r>
              <w:rPr>
                <w:rFonts w:hint="eastAsia" w:ascii="宋体" w:hAnsi="宋体" w:cs="宋体"/>
                <w:sz w:val="22"/>
                <w:szCs w:val="21"/>
              </w:rPr>
              <w:t>资质验证/范围再确认/</w:t>
            </w:r>
            <w:r>
              <w:rPr>
                <w:rFonts w:hint="eastAsia" w:ascii="宋体" w:hAnsi="宋体" w:cs="宋体"/>
                <w:sz w:val="22"/>
                <w:szCs w:val="21"/>
                <w:lang w:val="en-US" w:eastAsia="zh-CN"/>
              </w:rPr>
              <w:t>初审</w:t>
            </w:r>
            <w:r>
              <w:rPr>
                <w:rFonts w:hint="eastAsia" w:ascii="宋体" w:hAnsi="宋体" w:cs="宋体"/>
                <w:sz w:val="22"/>
                <w:szCs w:val="21"/>
              </w:rPr>
              <w:t>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4.1</w:t>
            </w:r>
          </w:p>
          <w:p>
            <w:pPr>
              <w:pStyle w:val="2"/>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rPr>
                <w:rFonts w:ascii="宋体" w:hAnsi="宋体" w:cs="宋体"/>
                <w:szCs w:val="21"/>
              </w:rPr>
            </w:pPr>
            <w:r>
              <w:rPr>
                <w:rFonts w:hint="eastAsia" w:ascii="宋体" w:hAnsi="宋体" w:cs="宋体"/>
                <w:szCs w:val="21"/>
              </w:rPr>
              <w:t>认证范围：</w:t>
            </w:r>
          </w:p>
          <w:p>
            <w:pPr>
              <w:rPr>
                <w:sz w:val="20"/>
              </w:rPr>
            </w:pPr>
            <w:r>
              <w:rPr>
                <w:sz w:val="20"/>
              </w:rPr>
              <w:t>Q：资质范围内的劳务分包</w:t>
            </w:r>
          </w:p>
          <w:p>
            <w:pPr>
              <w:rPr>
                <w:sz w:val="20"/>
              </w:rPr>
            </w:pPr>
            <w:r>
              <w:rPr>
                <w:sz w:val="20"/>
              </w:rPr>
              <w:t>E：资质范围内的劳务分</w:t>
            </w:r>
            <w:r>
              <w:rPr>
                <w:rFonts w:hint="eastAsia"/>
                <w:sz w:val="20"/>
              </w:rPr>
              <w:t>包</w:t>
            </w:r>
          </w:p>
          <w:p>
            <w:pPr>
              <w:pStyle w:val="2"/>
            </w:pPr>
            <w:r>
              <w:rPr>
                <w:sz w:val="20"/>
              </w:rPr>
              <w:t>O：资质范围内的劳务分包相关职业健康安全管理活动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认证主管部门：行政部</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4.4</w:t>
            </w:r>
          </w:p>
          <w:p>
            <w:pPr>
              <w:pStyle w:val="2"/>
            </w:pPr>
            <w:r>
              <w:t>Q6.3</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通过管理评审、内部审核及有效实施纠正、改进措施等方法来有效完善和持续发展公司的管理体系。公司管理者代表是吴秋贵先生，主要承诺有：</w:t>
            </w:r>
          </w:p>
          <w:p>
            <w:pPr>
              <w:spacing w:line="280" w:lineRule="exact"/>
              <w:ind w:firstLine="420" w:firstLineChars="200"/>
              <w:rPr>
                <w:rFonts w:ascii="宋体" w:hAnsi="宋体" w:cs="宋体"/>
                <w:szCs w:val="21"/>
              </w:rPr>
            </w:pPr>
            <w:r>
              <w:rPr>
                <w:rFonts w:hint="eastAsia" w:ascii="宋体" w:hAnsi="宋体" w:cs="宋体"/>
                <w:szCs w:val="21"/>
              </w:rPr>
              <w:t>1、确保质量\环境\职业健康安全管理体系所需的过程得到建立、实施和保持。</w:t>
            </w:r>
          </w:p>
          <w:p>
            <w:pPr>
              <w:spacing w:line="280" w:lineRule="exact"/>
              <w:ind w:firstLine="420" w:firstLineChars="200"/>
              <w:rPr>
                <w:rFonts w:ascii="宋体" w:hAnsi="宋体" w:cs="宋体"/>
                <w:szCs w:val="21"/>
              </w:rPr>
            </w:pPr>
            <w:r>
              <w:rPr>
                <w:rFonts w:hint="eastAsia" w:ascii="宋体" w:hAnsi="宋体" w:cs="宋体"/>
                <w:szCs w:val="21"/>
              </w:rPr>
              <w:t xml:space="preserve">2、向总经理报告管理体系的业绩和任何改进的需求。                     </w:t>
            </w:r>
          </w:p>
          <w:p>
            <w:pPr>
              <w:spacing w:line="280" w:lineRule="exact"/>
              <w:ind w:firstLine="420" w:firstLineChars="200"/>
              <w:rPr>
                <w:rFonts w:ascii="宋体" w:hAnsi="宋体" w:cs="宋体"/>
                <w:szCs w:val="21"/>
              </w:rPr>
            </w:pPr>
            <w:r>
              <w:rPr>
                <w:rFonts w:hint="eastAsia" w:ascii="宋体" w:hAnsi="宋体" w:cs="宋体"/>
                <w:szCs w:val="21"/>
              </w:rPr>
              <w:t xml:space="preserve">3、确保在公司内提高满足顾客要求的意识。                                     </w:t>
            </w:r>
          </w:p>
          <w:p>
            <w:pPr>
              <w:spacing w:line="280" w:lineRule="exact"/>
              <w:ind w:firstLine="315" w:firstLineChars="150"/>
              <w:rPr>
                <w:rFonts w:ascii="宋体" w:hAnsi="宋体" w:cs="宋体"/>
                <w:szCs w:val="21"/>
              </w:rPr>
            </w:pPr>
            <w:r>
              <w:rPr>
                <w:rFonts w:hint="eastAsia" w:ascii="宋体" w:hAnsi="宋体" w:cs="宋体"/>
                <w:szCs w:val="21"/>
              </w:rPr>
              <w:t xml:space="preserve"> 4、与质量、环境、职业健康安全体系有关事宜的外部联络。                 </w:t>
            </w:r>
          </w:p>
          <w:p>
            <w:pPr>
              <w:spacing w:line="280" w:lineRule="exact"/>
              <w:ind w:firstLine="210" w:firstLineChars="100"/>
              <w:rPr>
                <w:rFonts w:ascii="宋体" w:hAnsi="宋体" w:cs="宋体"/>
                <w:szCs w:val="21"/>
              </w:rPr>
            </w:pPr>
            <w:r>
              <w:rPr>
                <w:rFonts w:hint="eastAsia" w:ascii="宋体" w:hAnsi="宋体" w:cs="宋体"/>
                <w:szCs w:val="21"/>
              </w:rPr>
              <w:t xml:space="preserve">  5、协调各部门实施质量、环境、职业健康安全方针与目标。               </w:t>
            </w:r>
          </w:p>
          <w:p>
            <w:pPr>
              <w:spacing w:line="280" w:lineRule="exact"/>
              <w:ind w:firstLine="315" w:firstLineChars="150"/>
              <w:rPr>
                <w:rFonts w:ascii="宋体" w:hAnsi="宋体" w:cs="宋体"/>
                <w:szCs w:val="21"/>
              </w:rPr>
            </w:pPr>
            <w:r>
              <w:rPr>
                <w:rFonts w:hint="eastAsia" w:ascii="宋体" w:hAnsi="宋体" w:cs="宋体"/>
                <w:szCs w:val="21"/>
              </w:rPr>
              <w:t xml:space="preserve"> 6、内部质量、环境、职业健康安全体系审核策划与落实。</w:t>
            </w:r>
          </w:p>
          <w:p>
            <w:pPr>
              <w:pStyle w:val="2"/>
              <w:rPr>
                <w:rFonts w:ascii="宋体" w:hAnsi="宋体" w:cs="宋体"/>
                <w:bCs w:val="0"/>
                <w:spacing w:val="0"/>
                <w:szCs w:val="21"/>
              </w:rPr>
            </w:pPr>
          </w:p>
          <w:p>
            <w:pPr>
              <w:spacing w:line="280" w:lineRule="exact"/>
              <w:ind w:firstLine="420" w:firstLineChars="200"/>
              <w:rPr>
                <w:rFonts w:ascii="宋体" w:hAnsi="宋体" w:cs="宋体"/>
                <w:szCs w:val="21"/>
              </w:rPr>
            </w:pPr>
            <w:r>
              <w:rPr>
                <w:rFonts w:hint="eastAsia" w:ascii="宋体" w:hAnsi="宋体" w:cs="宋体"/>
                <w:szCs w:val="21"/>
              </w:rPr>
              <w:t>询问管代职责，吴秋贵先生能够清楚回答。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遵章守纪，质量第一；</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安全生产，保护环境；</w:t>
            </w:r>
          </w:p>
          <w:p>
            <w:pPr>
              <w:autoSpaceDE w:val="0"/>
              <w:autoSpaceDN w:val="0"/>
              <w:adjustRightIn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持续改进，污染预防。</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公司以质量、环境、职业健康安全标准为基础，结合公司实际特制定管理方针。与吴秋贵进行交谈，吴秋贵对方针内涵的理解较深刻。方针能为制定目标提供框架，方针基本符合标准的要求。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吴秋贵为管理体系的管理者代表。其职责和权限规定如下：</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确保本公司管理体系所需的过程得到建立、实施和保持，代表许芳行使职权；</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询问管代吴秋贵，职责回答正确。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公司任命员工代表：屈根华</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Q/E/S6.1.1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1、政策风险：公司属于劳务分包工程行业，主要客户为建筑</w:t>
            </w:r>
            <w:r>
              <w:rPr>
                <w:rFonts w:hint="eastAsia" w:hAnsi="宋体"/>
                <w:kern w:val="0"/>
                <w:szCs w:val="21"/>
              </w:rPr>
              <w:t>工程行业方面的客户</w:t>
            </w:r>
            <w:r>
              <w:rPr>
                <w:rFonts w:hint="eastAsia"/>
              </w:rPr>
              <w:t>，政策调整的风险较小。但为了防止未来有可能发生改变的政策，企业拟在其它类型的工作业务扩大做准备。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3、技术风险：公司拟招聘经验丰富的技术人员，并不断组织人员到同行优秀企业学习，加大产品服务及后期作业工作能力的提升，不断提高我企业的行业竞争能力，规避相关技术风险。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管理目标涉及质量、环境、职业健康安全，具体为：</w:t>
            </w:r>
          </w:p>
          <w:p>
            <w:pPr>
              <w:pStyle w:val="2"/>
            </w:pPr>
            <w:r>
              <w:rPr>
                <w:rFonts w:hint="eastAsia"/>
              </w:rPr>
              <w:t>a) 服务项目竣工验收一次合格率为100%；</w:t>
            </w:r>
          </w:p>
          <w:p>
            <w:pPr>
              <w:pStyle w:val="2"/>
            </w:pPr>
            <w:r>
              <w:rPr>
                <w:rFonts w:hint="eastAsia"/>
              </w:rPr>
              <w:t>b) 顾客满意度为92分；</w:t>
            </w:r>
          </w:p>
          <w:p>
            <w:pPr>
              <w:pStyle w:val="2"/>
            </w:pPr>
            <w:r>
              <w:rPr>
                <w:rFonts w:hint="eastAsia"/>
              </w:rPr>
              <w:t>c) 固体废弃物规范管理，危险废物100%控制；</w:t>
            </w:r>
          </w:p>
          <w:p>
            <w:pPr>
              <w:pStyle w:val="2"/>
            </w:pPr>
            <w:r>
              <w:rPr>
                <w:rFonts w:hint="eastAsia"/>
              </w:rPr>
              <w:t>d) 节约用电，节约用水；</w:t>
            </w:r>
          </w:p>
          <w:p>
            <w:pPr>
              <w:pStyle w:val="2"/>
            </w:pPr>
            <w:r>
              <w:rPr>
                <w:rFonts w:hint="eastAsia"/>
              </w:rPr>
              <w:t>e) 重伤以上事故为零，轻伤事故不大于5人次/年。</w:t>
            </w:r>
          </w:p>
          <w:p>
            <w:pPr>
              <w:pStyle w:val="2"/>
            </w:pPr>
            <w:r>
              <w:rPr>
                <w:rFonts w:hint="eastAsia"/>
              </w:rPr>
              <w:t>f) 火灾发生率为0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每季度由行政部按公司管理目标考核要求统计考核公司管理目标完成情况，提交管理评审会议。查到今年第一季度公司管理目标完成情况，各项目标均已完成，编制：行政部   审核：吴秋贵   批准：马永盛</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查公司配备的人力资源，公司总人数15人. 公司行政部负责根据各部门职责及工作范围，按照要求为质量/环境/职业健康安全管理体系的有效实施、运行提供所需要的人员</w:t>
            </w:r>
          </w:p>
          <w:p>
            <w:pPr>
              <w:pStyle w:val="2"/>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szCs w:val="21"/>
              </w:rPr>
            </w:pPr>
            <w:r>
              <w:rPr>
                <w:szCs w:val="21"/>
              </w:rPr>
              <w:t>Q/E/S7.4</w:t>
            </w:r>
          </w:p>
        </w:tc>
        <w:tc>
          <w:tcPr>
            <w:tcW w:w="10943"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pStyle w:val="2"/>
              <w:rPr>
                <w:rFonts w:ascii="宋体" w:hAnsi="宋体" w:cs="宋体"/>
                <w:szCs w:val="21"/>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pStyle w:val="2"/>
            </w:pPr>
            <w:r>
              <w:rPr>
                <w:rFonts w:hint="eastAsia"/>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pStyle w:val="2"/>
            </w:pPr>
            <w:r>
              <w:rPr>
                <w:rFonts w:hint="eastAsia" w:ascii="宋体" w:hAnsi="宋体" w:cs="宋体"/>
                <w:szCs w:val="21"/>
              </w:rPr>
              <w:t>公司编制了YSFY--QP-17-2019</w:t>
            </w:r>
            <w:r>
              <w:rPr>
                <w:rFonts w:hint="eastAsia" w:ascii="宋体" w:hAnsi="宋体" w:cs="宋体"/>
                <w:szCs w:val="21"/>
              </w:rPr>
              <w:tab/>
            </w:r>
            <w:r>
              <w:rPr>
                <w:rFonts w:hint="eastAsia" w:ascii="宋体" w:hAnsi="宋体" w:cs="宋体"/>
                <w:szCs w:val="21"/>
              </w:rPr>
              <w:t>环境、职业健康安全监视和测量控制程序</w:t>
            </w:r>
            <w:r>
              <w:rPr>
                <w:rFonts w:hint="eastAsia" w:ascii="宋体" w:hAnsi="宋体" w:cs="宋体"/>
                <w:szCs w:val="21"/>
              </w:rPr>
              <w:tab/>
            </w:r>
            <w:r>
              <w:rPr>
                <w:rFonts w:hint="eastAsia" w:ascii="宋体" w:hAnsi="宋体" w:cs="宋体"/>
                <w:szCs w:val="21"/>
              </w:rPr>
              <w:t>A/0，YSFY--QP-18-2019</w:t>
            </w:r>
            <w:r>
              <w:rPr>
                <w:rFonts w:hint="eastAsia" w:ascii="宋体" w:hAnsi="宋体" w:cs="宋体"/>
                <w:szCs w:val="21"/>
              </w:rPr>
              <w:tab/>
            </w:r>
            <w:r>
              <w:rPr>
                <w:rFonts w:hint="eastAsia" w:ascii="宋体" w:hAnsi="宋体" w:cs="宋体"/>
                <w:szCs w:val="21"/>
              </w:rPr>
              <w:t>监视和测量设备控制程序</w:t>
            </w:r>
            <w:r>
              <w:rPr>
                <w:rFonts w:hint="eastAsia" w:ascii="宋体" w:hAnsi="宋体" w:cs="宋体"/>
                <w:szCs w:val="21"/>
              </w:rPr>
              <w:tab/>
            </w:r>
            <w:r>
              <w:rPr>
                <w:rFonts w:hint="eastAsia" w:ascii="宋体" w:hAnsi="宋体" w:cs="宋体"/>
                <w:szCs w:val="21"/>
              </w:rPr>
              <w:t>A/0，对建筑工程劳务分包；资质范围内的劳务分包的质量特性进行监视和测量，以验证其符合要求的程度，确保服务符合要求。</w:t>
            </w:r>
          </w:p>
          <w:p>
            <w:pPr>
              <w:pStyle w:val="2"/>
              <w:rPr>
                <w:rFonts w:asciiTheme="minorEastAsia" w:hAnsiTheme="minorEastAsia" w:eastAsiaTheme="minorEastAsia" w:cstheme="minorEastAsia"/>
                <w:szCs w:val="21"/>
              </w:rPr>
            </w:pPr>
            <w:r>
              <w:rPr>
                <w:rFonts w:hint="eastAsia"/>
              </w:rPr>
              <w:t>公司制定《内部审核控制程序》 、《管理评审控制程序》 为保证公司质量管理体系的有效运行</w:t>
            </w:r>
            <w:r>
              <w:rPr>
                <w:rFonts w:hint="eastAsia" w:asciiTheme="minorEastAsia" w:hAnsiTheme="minorEastAsia" w:eastAsiaTheme="minorEastAsia" w:cstheme="minorEastAsia"/>
                <w:szCs w:val="21"/>
              </w:rPr>
              <w:t>，通过对管理绩效的监视与测量，确保体系运行的有效性。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环境和职业健康安全运行管理检查情况：抽查2020.07.10管理检查记录，主控部门：综合部，检查人：谢景海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公司编制并实施《管理评审控制程序》，规定管理评审每年至少进行一次，由马永胜总经理决定是否增加管理评审的频次。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w:t>
            </w:r>
            <w:r>
              <w:t>2020-7-28</w:t>
            </w:r>
            <w:r>
              <w:rPr>
                <w:rFonts w:hint="eastAsia"/>
              </w:rPr>
              <w:t>日进行，初审无间隔要求，评审方式：会议评审， 拟稿行政部  ，签发：马永胜，参加人员包括公司总经理、管理者代表、内审员，计划中明确了评审内容和资料准备要求。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按计划的时间实施了管理评审。管理评审内容包括：</w:t>
            </w:r>
          </w:p>
          <w:p>
            <w:pPr>
              <w:pStyle w:val="2"/>
            </w:pPr>
            <w:r>
              <w:rPr>
                <w:rFonts w:hint="eastAsia"/>
              </w:rPr>
              <w:t xml:space="preserve">a）以往管理评审所采取措施的实施情况； </w:t>
            </w:r>
          </w:p>
          <w:p>
            <w:pPr>
              <w:pStyle w:val="2"/>
            </w:pPr>
            <w:r>
              <w:rPr>
                <w:rFonts w:hint="eastAsia"/>
              </w:rPr>
              <w:t>b）以下方面的变化；</w:t>
            </w:r>
          </w:p>
          <w:p>
            <w:pPr>
              <w:pStyle w:val="2"/>
            </w:pPr>
            <w:r>
              <w:rPr>
                <w:rFonts w:hint="eastAsia"/>
              </w:rPr>
              <w:t xml:space="preserve">1）与管理体系相关的内外部因素； </w:t>
            </w:r>
          </w:p>
          <w:p>
            <w:pPr>
              <w:pStyle w:val="2"/>
            </w:pPr>
            <w:r>
              <w:rPr>
                <w:rFonts w:hint="eastAsia"/>
              </w:rPr>
              <w:t xml:space="preserve">2）顾客和相关方的需求和期望，包括合规义务； </w:t>
            </w:r>
          </w:p>
          <w:p>
            <w:pPr>
              <w:pStyle w:val="2"/>
            </w:pPr>
            <w:r>
              <w:rPr>
                <w:rFonts w:hint="eastAsia"/>
              </w:rPr>
              <w:t xml:space="preserve">3）其重要环境因素和职业健康安全风险； </w:t>
            </w:r>
          </w:p>
          <w:p>
            <w:pPr>
              <w:pStyle w:val="2"/>
            </w:pPr>
            <w:r>
              <w:rPr>
                <w:rFonts w:hint="eastAsia"/>
              </w:rPr>
              <w:t xml:space="preserve">4）风险和机遇。 </w:t>
            </w:r>
          </w:p>
          <w:p>
            <w:pPr>
              <w:pStyle w:val="2"/>
            </w:pPr>
            <w:r>
              <w:rPr>
                <w:rFonts w:hint="eastAsia"/>
              </w:rPr>
              <w:t xml:space="preserve">c）有关管理体系绩效和有效性的信息，包括下列趋势性信息： </w:t>
            </w:r>
          </w:p>
          <w:p>
            <w:pPr>
              <w:pStyle w:val="2"/>
            </w:pPr>
            <w:r>
              <w:rPr>
                <w:rFonts w:hint="eastAsia"/>
              </w:rPr>
              <w:t xml:space="preserve">1）顾客满意和来自相关方的有关信息交流，包括抱怨； </w:t>
            </w:r>
          </w:p>
          <w:p>
            <w:pPr>
              <w:pStyle w:val="2"/>
            </w:pPr>
            <w:r>
              <w:rPr>
                <w:rFonts w:hint="eastAsia"/>
              </w:rPr>
              <w:t xml:space="preserve">2）目标、指标的实现程度； </w:t>
            </w:r>
          </w:p>
          <w:p>
            <w:pPr>
              <w:pStyle w:val="2"/>
            </w:pPr>
            <w:r>
              <w:rPr>
                <w:rFonts w:hint="eastAsia"/>
              </w:rPr>
              <w:t xml:space="preserve">3）过程、健康、环境和安全绩效以及产品和服务的符合性； </w:t>
            </w:r>
          </w:p>
          <w:p>
            <w:pPr>
              <w:pStyle w:val="2"/>
            </w:pPr>
            <w:r>
              <w:rPr>
                <w:rFonts w:hint="eastAsia"/>
              </w:rPr>
              <w:t>4）不合格、不符合以及纠正措施；</w:t>
            </w:r>
          </w:p>
          <w:p>
            <w:pPr>
              <w:pStyle w:val="2"/>
            </w:pPr>
            <w:r>
              <w:rPr>
                <w:rFonts w:hint="eastAsia"/>
              </w:rPr>
              <w:t>5）监视和测量结果；</w:t>
            </w:r>
          </w:p>
          <w:p>
            <w:pPr>
              <w:pStyle w:val="2"/>
            </w:pPr>
            <w:r>
              <w:rPr>
                <w:rFonts w:hint="eastAsia"/>
              </w:rPr>
              <w:t>6）其合规义务的履行情况；</w:t>
            </w:r>
          </w:p>
          <w:p>
            <w:pPr>
              <w:pStyle w:val="2"/>
            </w:pPr>
            <w:r>
              <w:rPr>
                <w:rFonts w:hint="eastAsia"/>
              </w:rPr>
              <w:t xml:space="preserve">7）审核结果； </w:t>
            </w:r>
          </w:p>
          <w:p>
            <w:pPr>
              <w:pStyle w:val="2"/>
            </w:pPr>
            <w:r>
              <w:rPr>
                <w:rFonts w:hint="eastAsia"/>
              </w:rPr>
              <w:t xml:space="preserve">8）外部供方的绩效。 </w:t>
            </w:r>
          </w:p>
          <w:p>
            <w:pPr>
              <w:pStyle w:val="2"/>
            </w:pPr>
            <w:r>
              <w:rPr>
                <w:rFonts w:hint="eastAsia"/>
              </w:rPr>
              <w:t xml:space="preserve">d）资源的充分性； </w:t>
            </w:r>
          </w:p>
          <w:p>
            <w:pPr>
              <w:pStyle w:val="2"/>
            </w:pPr>
            <w:r>
              <w:rPr>
                <w:rFonts w:hint="eastAsia"/>
              </w:rPr>
              <w:t xml:space="preserve">e）应对风险和机遇所采取措施的有效性； </w:t>
            </w:r>
          </w:p>
          <w:p>
            <w:pPr>
              <w:pStyle w:val="2"/>
            </w:pPr>
            <w:r>
              <w:rPr>
                <w:rFonts w:hint="eastAsia"/>
              </w:rPr>
              <w:t>f）改进的机会。</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w:t>
            </w:r>
          </w:p>
          <w:p>
            <w:pPr>
              <w:pStyle w:val="13"/>
              <w:numPr>
                <w:ilvl w:val="0"/>
                <w:numId w:val="2"/>
              </w:numPr>
              <w:spacing w:line="280" w:lineRule="exact"/>
            </w:pPr>
            <w:r>
              <w:rPr>
                <w:rFonts w:hint="eastAsia"/>
              </w:rPr>
              <w:t>公司制定的管理目标均以实现，管理方针得到有效贯彻执行，管理方针、目标、指标适宜；</w:t>
            </w:r>
          </w:p>
          <w:p>
            <w:pPr>
              <w:pStyle w:val="13"/>
              <w:numPr>
                <w:ilvl w:val="0"/>
                <w:numId w:val="2"/>
              </w:numPr>
              <w:spacing w:line="280" w:lineRule="exact"/>
            </w:pPr>
            <w:r>
              <w:rPr>
                <w:rFonts w:hint="eastAsia"/>
              </w:rPr>
              <w:t>公司建立的管理体系基本符合标准要求，体系的建立是充分、适宜的，运行有效。</w:t>
            </w:r>
          </w:p>
          <w:p>
            <w:pPr>
              <w:spacing w:line="280" w:lineRule="exact"/>
              <w:ind w:firstLine="420" w:firstLineChars="20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pStyle w:val="13"/>
              <w:numPr>
                <w:ilvl w:val="0"/>
                <w:numId w:val="3"/>
              </w:numPr>
              <w:tabs>
                <w:tab w:val="left" w:pos="312"/>
              </w:tabs>
              <w:spacing w:line="280" w:lineRule="exact"/>
            </w:pPr>
            <w:r>
              <w:rPr>
                <w:rFonts w:hint="eastAsia"/>
              </w:rPr>
              <w:t>改进计划</w:t>
            </w:r>
          </w:p>
          <w:p>
            <w:pPr>
              <w:pStyle w:val="13"/>
              <w:tabs>
                <w:tab w:val="left" w:pos="312"/>
              </w:tabs>
              <w:spacing w:line="280" w:lineRule="exact"/>
              <w:ind w:left="360"/>
            </w:pPr>
            <w:r>
              <w:rPr>
                <w:rFonts w:hint="eastAsia"/>
              </w:rPr>
              <w:t>a) 进一步加强对新版标准及体系文件的学习贯彻，要求办公室要组织有针对性的培训；</w:t>
            </w:r>
          </w:p>
          <w:p>
            <w:pPr>
              <w:pStyle w:val="13"/>
              <w:tabs>
                <w:tab w:val="left" w:pos="312"/>
              </w:tabs>
              <w:spacing w:line="280" w:lineRule="exact"/>
              <w:ind w:left="360"/>
            </w:pPr>
            <w:r>
              <w:rPr>
                <w:rFonts w:hint="eastAsia"/>
              </w:rPr>
              <w:t>b) 加强风险分析的培训，提高风险管理意识。</w:t>
            </w:r>
          </w:p>
          <w:p>
            <w:pPr>
              <w:pStyle w:val="13"/>
              <w:spacing w:line="280" w:lineRule="exact"/>
              <w:ind w:firstLine="420" w:firstLineChars="200"/>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ind w:firstLine="420" w:firstLineChars="200"/>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w:t>
            </w:r>
            <w:r>
              <w:rPr>
                <w:szCs w:val="21"/>
              </w:rPr>
              <w:t>/E/S</w:t>
            </w:r>
            <w:r>
              <w:rPr>
                <w:rFonts w:hint="eastAsia"/>
                <w:szCs w:val="21"/>
              </w:rPr>
              <w:t xml:space="preserve"> 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sz w:val="24"/>
                <w:szCs w:val="24"/>
                <w:lang w:val="en-US" w:eastAsia="zh-CN"/>
              </w:rPr>
              <w:t>初审</w:t>
            </w:r>
            <w:r>
              <w:rPr>
                <w:rFonts w:hint="eastAsia"/>
                <w:sz w:val="24"/>
                <w:szCs w:val="24"/>
              </w:rPr>
              <w:t>问题验证/投诉或事故/政府主管部门监督抽查情况</w:t>
            </w:r>
            <w:r>
              <w:rPr>
                <w:rFonts w:hint="eastAsia"/>
                <w:sz w:val="24"/>
                <w:szCs w:val="24"/>
                <w:lang w:val="en-US" w:eastAsia="zh-CN"/>
              </w:rPr>
              <w:t>/证书使用情况</w:t>
            </w:r>
          </w:p>
        </w:tc>
        <w:tc>
          <w:tcPr>
            <w:tcW w:w="960" w:type="dxa"/>
            <w:vAlign w:val="top"/>
          </w:tcPr>
          <w:p>
            <w:pPr>
              <w:spacing w:line="280" w:lineRule="exact"/>
              <w:rPr>
                <w:rFonts w:ascii="Times New Roman" w:hAnsi="Times New Roman" w:eastAsia="宋体" w:cs="Times New Roman"/>
                <w:kern w:val="2"/>
                <w:sz w:val="21"/>
                <w:lang w:val="en-US" w:eastAsia="zh-CN" w:bidi="ar-SA"/>
              </w:rPr>
            </w:pPr>
          </w:p>
        </w:tc>
        <w:tc>
          <w:tcPr>
            <w:tcW w:w="10943" w:type="dxa"/>
            <w:vAlign w:val="center"/>
          </w:tcPr>
          <w:p>
            <w:pPr>
              <w:rPr>
                <w:rFonts w:hint="eastAsia" w:eastAsia="宋体"/>
                <w:lang w:eastAsia="zh-CN"/>
              </w:rPr>
            </w:pPr>
            <w:r>
              <w:rPr>
                <w:rFonts w:hint="eastAsia"/>
                <w:lang w:val="en-US" w:eastAsia="zh-CN"/>
              </w:rPr>
              <w:t>初审</w:t>
            </w:r>
            <w:r>
              <w:rPr>
                <w:rFonts w:hint="eastAsia"/>
              </w:rPr>
              <w:t>问题</w:t>
            </w:r>
            <w:r>
              <w:rPr>
                <w:rFonts w:hint="eastAsia"/>
                <w:lang w:eastAsia="zh-CN"/>
              </w:rPr>
              <w:t>：</w:t>
            </w:r>
            <w:r>
              <w:rPr>
                <w:rFonts w:hint="eastAsia"/>
                <w:color w:val="1C1B10" w:themeColor="background2" w:themeShade="19"/>
              </w:rPr>
              <w:t>行政部办公室没有“严禁吸烟”的警示标识，</w:t>
            </w:r>
            <w:r>
              <w:rPr>
                <w:rFonts w:hint="eastAsia"/>
                <w:color w:val="1C1B10" w:themeColor="background2" w:themeShade="19"/>
                <w:lang w:val="en-US" w:eastAsia="zh-CN"/>
              </w:rPr>
              <w:t>此次审核无此情况，整改有效</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default" w:eastAsia="宋体"/>
                <w:lang w:val="en-US" w:eastAsia="zh-CN"/>
              </w:rPr>
            </w:pPr>
            <w:r>
              <w:rPr>
                <w:rFonts w:hint="eastAsia"/>
                <w:lang w:val="en-US" w:eastAsia="zh-CN"/>
              </w:rPr>
              <w:t>证书使用无异常</w:t>
            </w:r>
          </w:p>
        </w:tc>
        <w:tc>
          <w:tcPr>
            <w:tcW w:w="646" w:type="dxa"/>
          </w:tcPr>
          <w:p>
            <w:pPr>
              <w:rPr>
                <w:rFonts w:ascii="宋体" w:hAnsi="宋体" w:cs="宋体"/>
                <w:szCs w:val="21"/>
              </w:rPr>
            </w:pPr>
          </w:p>
        </w:tc>
      </w:tr>
    </w:tbl>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2BC43BEA"/>
    <w:multiLevelType w:val="multilevel"/>
    <w:tmpl w:val="2BC43BE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B7E7489"/>
    <w:multiLevelType w:val="multilevel"/>
    <w:tmpl w:val="4B7E7489"/>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57839"/>
    <w:rsid w:val="000756AF"/>
    <w:rsid w:val="00116B06"/>
    <w:rsid w:val="001464D8"/>
    <w:rsid w:val="001A2D7F"/>
    <w:rsid w:val="001C5D0F"/>
    <w:rsid w:val="00211926"/>
    <w:rsid w:val="002619E9"/>
    <w:rsid w:val="002C4F44"/>
    <w:rsid w:val="00333894"/>
    <w:rsid w:val="00337922"/>
    <w:rsid w:val="00340867"/>
    <w:rsid w:val="0034204A"/>
    <w:rsid w:val="003649E1"/>
    <w:rsid w:val="00380837"/>
    <w:rsid w:val="00386B12"/>
    <w:rsid w:val="003A198A"/>
    <w:rsid w:val="003C14B8"/>
    <w:rsid w:val="004041C6"/>
    <w:rsid w:val="00410914"/>
    <w:rsid w:val="004576A5"/>
    <w:rsid w:val="004A4E1D"/>
    <w:rsid w:val="004A71E4"/>
    <w:rsid w:val="004F0262"/>
    <w:rsid w:val="005001B9"/>
    <w:rsid w:val="00536930"/>
    <w:rsid w:val="00537F57"/>
    <w:rsid w:val="00552276"/>
    <w:rsid w:val="00564E53"/>
    <w:rsid w:val="005B1D35"/>
    <w:rsid w:val="005C526D"/>
    <w:rsid w:val="006139C7"/>
    <w:rsid w:val="00630243"/>
    <w:rsid w:val="0064291E"/>
    <w:rsid w:val="00644FE2"/>
    <w:rsid w:val="0067640C"/>
    <w:rsid w:val="0069544D"/>
    <w:rsid w:val="006B39F5"/>
    <w:rsid w:val="006C6E4F"/>
    <w:rsid w:val="006E678B"/>
    <w:rsid w:val="007757F3"/>
    <w:rsid w:val="007D0507"/>
    <w:rsid w:val="007E6AEB"/>
    <w:rsid w:val="008078E9"/>
    <w:rsid w:val="0086370B"/>
    <w:rsid w:val="0087425B"/>
    <w:rsid w:val="00886C4E"/>
    <w:rsid w:val="008904A2"/>
    <w:rsid w:val="008973EE"/>
    <w:rsid w:val="008C3FCB"/>
    <w:rsid w:val="009128B2"/>
    <w:rsid w:val="00916208"/>
    <w:rsid w:val="00917D29"/>
    <w:rsid w:val="00926A1A"/>
    <w:rsid w:val="00955278"/>
    <w:rsid w:val="00971600"/>
    <w:rsid w:val="009973B4"/>
    <w:rsid w:val="009A18F4"/>
    <w:rsid w:val="009A2DE9"/>
    <w:rsid w:val="009C28C1"/>
    <w:rsid w:val="009F7EED"/>
    <w:rsid w:val="00A3155D"/>
    <w:rsid w:val="00A53A38"/>
    <w:rsid w:val="00AC738E"/>
    <w:rsid w:val="00AF0AAB"/>
    <w:rsid w:val="00B147DD"/>
    <w:rsid w:val="00B3370B"/>
    <w:rsid w:val="00B740E7"/>
    <w:rsid w:val="00B94C6A"/>
    <w:rsid w:val="00BD4472"/>
    <w:rsid w:val="00BF597E"/>
    <w:rsid w:val="00C20DE5"/>
    <w:rsid w:val="00C40745"/>
    <w:rsid w:val="00C51A36"/>
    <w:rsid w:val="00C55228"/>
    <w:rsid w:val="00C82E5F"/>
    <w:rsid w:val="00C952AC"/>
    <w:rsid w:val="00CE114B"/>
    <w:rsid w:val="00CE315A"/>
    <w:rsid w:val="00D06F59"/>
    <w:rsid w:val="00D70DF1"/>
    <w:rsid w:val="00D8388C"/>
    <w:rsid w:val="00DD5FAF"/>
    <w:rsid w:val="00DF1FA8"/>
    <w:rsid w:val="00DF7C24"/>
    <w:rsid w:val="00E33F49"/>
    <w:rsid w:val="00E564FB"/>
    <w:rsid w:val="00E743B5"/>
    <w:rsid w:val="00E80923"/>
    <w:rsid w:val="00EB0164"/>
    <w:rsid w:val="00EB66A9"/>
    <w:rsid w:val="00EC19AF"/>
    <w:rsid w:val="00ED0F62"/>
    <w:rsid w:val="00ED5AE9"/>
    <w:rsid w:val="00F36F6E"/>
    <w:rsid w:val="00F57EC3"/>
    <w:rsid w:val="00F734CC"/>
    <w:rsid w:val="00F82BD2"/>
    <w:rsid w:val="00FB0841"/>
    <w:rsid w:val="00FB37D6"/>
    <w:rsid w:val="01486283"/>
    <w:rsid w:val="02D56F11"/>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9F008C0"/>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left="720"/>
      <w:contextualSpacing/>
    </w:pPr>
  </w:style>
  <w:style w:type="character" w:customStyle="1" w:styleId="14">
    <w:name w:val="副标题 Char"/>
    <w:link w:val="6"/>
    <w:qFormat/>
    <w:uiPriority w:val="11"/>
    <w:rPr>
      <w:rFonts w:ascii="Cambria" w:hAnsi="Cambria"/>
      <w:b/>
      <w:bCs/>
      <w:kern w:val="28"/>
      <w:sz w:val="32"/>
      <w:szCs w:val="32"/>
    </w:rPr>
  </w:style>
  <w:style w:type="character" w:customStyle="1" w:styleId="15">
    <w:name w:val="副标题 Char1"/>
    <w:basedOn w:val="8"/>
    <w:qFormat/>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12</Pages>
  <Words>1099</Words>
  <Characters>6265</Characters>
  <Lines>52</Lines>
  <Paragraphs>14</Paragraphs>
  <TotalTime>1</TotalTime>
  <ScaleCrop>false</ScaleCrop>
  <LinksUpToDate>false</LinksUpToDate>
  <CharactersWithSpaces>7350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2021-03-27T02:31:22Z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A669361694DA463997FDB135FF838997</vt:lpwstr>
  </property>
</Properties>
</file>