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襄阳高歌汽车部件有限公司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补充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陈俊）严格按照审核计划执行，未出现迟到早退情况</w:t>
      </w:r>
      <w:bookmarkStart w:id="3" w:name="_GoBack"/>
      <w:bookmarkEnd w:id="3"/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襄阳高歌汽车部件有限公司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2021.3.27</w:t>
      </w:r>
      <w:r>
        <w:rPr>
          <w:color w:val="auto"/>
          <w:sz w:val="24"/>
          <w:szCs w:val="24"/>
        </w:rPr>
        <w:t xml:space="preserve">  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528385E"/>
    <w:rsid w:val="0CC66072"/>
    <w:rsid w:val="0ED63A4F"/>
    <w:rsid w:val="108749D8"/>
    <w:rsid w:val="11E429AE"/>
    <w:rsid w:val="131C2C7A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A236703"/>
    <w:rsid w:val="5AD76C08"/>
    <w:rsid w:val="63E75C0F"/>
    <w:rsid w:val="66681660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2021-03-29T08:10:51Z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48D81A272EDC4B59B2CB5A9CB565809C</vt:lpwstr>
  </property>
</Properties>
</file>