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04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222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040" w:type="dxa"/>
            <w:vAlign w:val="center"/>
          </w:tcPr>
          <w:p>
            <w:pPr>
              <w:spacing w:line="380" w:lineRule="exact"/>
              <w:rPr>
                <w:rFonts w:hint="eastAsia" w:eastAsia="宋体"/>
                <w:sz w:val="24"/>
                <w:szCs w:val="22"/>
                <w:lang w:eastAsia="zh-CN"/>
              </w:rPr>
            </w:pPr>
            <w:r>
              <w:rPr>
                <w:rFonts w:hint="eastAsia"/>
                <w:sz w:val="24"/>
                <w:szCs w:val="22"/>
              </w:rPr>
              <w:t xml:space="preserve">受审核部门：供销部  </w:t>
            </w:r>
            <w:r>
              <w:rPr>
                <w:rFonts w:hint="eastAsia"/>
                <w:sz w:val="24"/>
                <w:szCs w:val="22"/>
                <w:lang w:val="en-US" w:eastAsia="zh-CN"/>
              </w:rPr>
              <w:t xml:space="preserve"> </w:t>
            </w:r>
            <w:r>
              <w:rPr>
                <w:rFonts w:hint="eastAsia"/>
                <w:sz w:val="24"/>
                <w:szCs w:val="22"/>
              </w:rPr>
              <w:t xml:space="preserve">  主管领导：白金荣 </w:t>
            </w:r>
            <w:r>
              <w:rPr>
                <w:rFonts w:hint="eastAsia"/>
                <w:sz w:val="24"/>
                <w:szCs w:val="22"/>
                <w:lang w:val="en-US" w:eastAsia="zh-CN"/>
              </w:rPr>
              <w:t xml:space="preserve">     </w:t>
            </w:r>
            <w:r>
              <w:rPr>
                <w:rFonts w:hint="eastAsia"/>
                <w:sz w:val="24"/>
                <w:szCs w:val="22"/>
              </w:rPr>
              <w:t>陪同人员：</w:t>
            </w:r>
            <w:r>
              <w:rPr>
                <w:rFonts w:hint="eastAsia" w:ascii="宋体" w:hAnsi="宋体" w:cs="宋体"/>
                <w:kern w:val="0"/>
                <w:sz w:val="24"/>
                <w:szCs w:val="24"/>
                <w:lang w:val="en-US" w:eastAsia="zh-CN"/>
              </w:rPr>
              <w:t>刘德华</w:t>
            </w:r>
          </w:p>
        </w:tc>
        <w:tc>
          <w:tcPr>
            <w:tcW w:w="10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tc>
        <w:tc>
          <w:tcPr>
            <w:tcW w:w="2220" w:type="dxa"/>
            <w:vMerge w:val="continue"/>
            <w:vAlign w:val="center"/>
          </w:tcPr>
          <w:p/>
        </w:tc>
        <w:tc>
          <w:tcPr>
            <w:tcW w:w="10040" w:type="dxa"/>
            <w:vAlign w:val="center"/>
          </w:tcPr>
          <w:p>
            <w:pPr>
              <w:spacing w:line="380" w:lineRule="exact"/>
              <w:rPr>
                <w:rFonts w:hint="default" w:eastAsia="宋体"/>
                <w:sz w:val="24"/>
                <w:szCs w:val="22"/>
                <w:lang w:val="en-US" w:eastAsia="zh-CN"/>
              </w:rPr>
            </w:pPr>
            <w:r>
              <w:rPr>
                <w:rFonts w:hint="eastAsia"/>
                <w:sz w:val="24"/>
                <w:szCs w:val="22"/>
              </w:rPr>
              <w:t>审核员：</w:t>
            </w:r>
            <w:r>
              <w:rPr>
                <w:rFonts w:hint="eastAsia"/>
                <w:sz w:val="24"/>
                <w:szCs w:val="22"/>
                <w:lang w:val="en-US" w:eastAsia="zh-CN"/>
              </w:rPr>
              <w:t>周涛</w:t>
            </w:r>
            <w:r>
              <w:rPr>
                <w:rFonts w:hint="eastAsia"/>
                <w:sz w:val="24"/>
                <w:szCs w:val="22"/>
              </w:rPr>
              <w:t xml:space="preserve">      审核时间：202</w:t>
            </w:r>
            <w:r>
              <w:rPr>
                <w:rFonts w:hint="eastAsia"/>
                <w:sz w:val="24"/>
                <w:szCs w:val="22"/>
                <w:lang w:val="en-US" w:eastAsia="zh-CN"/>
              </w:rPr>
              <w:t>1</w:t>
            </w:r>
            <w:r>
              <w:rPr>
                <w:rFonts w:hint="eastAsia"/>
                <w:sz w:val="24"/>
                <w:szCs w:val="22"/>
              </w:rPr>
              <w:t>.</w:t>
            </w:r>
            <w:r>
              <w:rPr>
                <w:rFonts w:hint="eastAsia"/>
                <w:sz w:val="24"/>
                <w:szCs w:val="22"/>
                <w:lang w:val="en-US" w:eastAsia="zh-CN"/>
              </w:rPr>
              <w:t>3</w:t>
            </w:r>
            <w:r>
              <w:rPr>
                <w:sz w:val="24"/>
                <w:szCs w:val="22"/>
              </w:rPr>
              <w:t>.</w:t>
            </w:r>
            <w:r>
              <w:rPr>
                <w:rFonts w:hint="eastAsia"/>
                <w:sz w:val="24"/>
                <w:szCs w:val="22"/>
                <w:lang w:val="en-US" w:eastAsia="zh-CN"/>
              </w:rPr>
              <w:t>30</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tc>
        <w:tc>
          <w:tcPr>
            <w:tcW w:w="2220" w:type="dxa"/>
            <w:vMerge w:val="continue"/>
            <w:vAlign w:val="center"/>
          </w:tcPr>
          <w:p/>
        </w:tc>
        <w:tc>
          <w:tcPr>
            <w:tcW w:w="10040" w:type="dxa"/>
            <w:vAlign w:val="center"/>
          </w:tcPr>
          <w:p>
            <w:pPr>
              <w:spacing w:line="380" w:lineRule="exact"/>
              <w:rPr>
                <w:sz w:val="24"/>
                <w:szCs w:val="22"/>
              </w:rPr>
            </w:pPr>
            <w:r>
              <w:rPr>
                <w:sz w:val="24"/>
                <w:szCs w:val="22"/>
              </w:rPr>
              <w:t>组织的岗位、职责权限；目标、方案；危险源识别评价；应急准备和响应</w:t>
            </w:r>
          </w:p>
          <w:p>
            <w:pPr>
              <w:spacing w:line="380" w:lineRule="exact"/>
              <w:rPr>
                <w:sz w:val="24"/>
                <w:szCs w:val="22"/>
              </w:rPr>
            </w:pPr>
            <w:r>
              <w:rPr>
                <w:sz w:val="24"/>
                <w:szCs w:val="22"/>
              </w:rPr>
              <w:t>O5.3/6.2/6.1.2/8.1/8.2</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rFonts w:ascii="宋体" w:hAnsi="宋体" w:cs="宋体"/>
                <w:kern w:val="0"/>
                <w:sz w:val="24"/>
              </w:rPr>
            </w:pPr>
            <w:r>
              <w:rPr>
                <w:rFonts w:hint="eastAsia" w:ascii="宋体" w:hAnsi="宋体" w:cs="宋体"/>
                <w:kern w:val="0"/>
                <w:sz w:val="24"/>
              </w:rPr>
              <w:t>岗位、职责和权限</w:t>
            </w:r>
          </w:p>
        </w:tc>
        <w:tc>
          <w:tcPr>
            <w:tcW w:w="2220" w:type="dxa"/>
          </w:tcPr>
          <w:p>
            <w:pPr>
              <w:pStyle w:val="10"/>
            </w:pPr>
            <w:r>
              <w:rPr>
                <w:szCs w:val="21"/>
              </w:rPr>
              <w:t>O5.3</w:t>
            </w:r>
          </w:p>
        </w:tc>
        <w:tc>
          <w:tcPr>
            <w:tcW w:w="10040" w:type="dxa"/>
          </w:tcPr>
          <w:p>
            <w:pPr>
              <w:spacing w:line="380" w:lineRule="exact"/>
              <w:rPr>
                <w:sz w:val="24"/>
                <w:szCs w:val="22"/>
              </w:rPr>
            </w:pPr>
            <w:r>
              <w:rPr>
                <w:rFonts w:hint="eastAsia"/>
                <w:sz w:val="24"/>
                <w:szCs w:val="22"/>
              </w:rPr>
              <w:t>供销部职责</w:t>
            </w:r>
          </w:p>
          <w:p>
            <w:pPr>
              <w:pStyle w:val="16"/>
              <w:numPr>
                <w:ilvl w:val="0"/>
                <w:numId w:val="1"/>
              </w:numPr>
              <w:autoSpaceDE w:val="0"/>
              <w:autoSpaceDN w:val="0"/>
              <w:snapToGrid w:val="0"/>
              <w:spacing w:line="390" w:lineRule="exact"/>
              <w:ind w:firstLineChars="0"/>
              <w:jc w:val="left"/>
              <w:rPr>
                <w:rFonts w:ascii="宋体" w:hAnsi="宋体" w:cs="宋体"/>
                <w:kern w:val="0"/>
                <w:sz w:val="24"/>
              </w:rPr>
            </w:pPr>
            <w:r>
              <w:rPr>
                <w:rFonts w:hint="eastAsia" w:ascii="宋体" w:hAnsi="宋体" w:cs="宋体"/>
                <w:kern w:val="0"/>
                <w:sz w:val="24"/>
              </w:rPr>
              <w:t>产品要求确定；</w:t>
            </w:r>
          </w:p>
          <w:p>
            <w:pPr>
              <w:pStyle w:val="16"/>
              <w:numPr>
                <w:ilvl w:val="0"/>
                <w:numId w:val="1"/>
              </w:numPr>
              <w:autoSpaceDE w:val="0"/>
              <w:autoSpaceDN w:val="0"/>
              <w:snapToGrid w:val="0"/>
              <w:spacing w:line="390" w:lineRule="exact"/>
              <w:ind w:firstLineChars="0"/>
              <w:jc w:val="left"/>
              <w:rPr>
                <w:sz w:val="24"/>
                <w:szCs w:val="22"/>
              </w:rPr>
            </w:pPr>
            <w:r>
              <w:rPr>
                <w:rFonts w:hint="eastAsia" w:ascii="宋体" w:hAnsi="宋体" w:cs="宋体"/>
                <w:kern w:val="0"/>
                <w:sz w:val="24"/>
              </w:rPr>
              <w:t>合同评审情况；</w:t>
            </w:r>
          </w:p>
          <w:p>
            <w:pPr>
              <w:pStyle w:val="16"/>
              <w:numPr>
                <w:ilvl w:val="0"/>
                <w:numId w:val="1"/>
              </w:numPr>
              <w:autoSpaceDE w:val="0"/>
              <w:autoSpaceDN w:val="0"/>
              <w:snapToGrid w:val="0"/>
              <w:spacing w:line="390" w:lineRule="exact"/>
              <w:ind w:firstLineChars="0"/>
              <w:jc w:val="left"/>
              <w:rPr>
                <w:sz w:val="24"/>
                <w:szCs w:val="22"/>
              </w:rPr>
            </w:pPr>
            <w:r>
              <w:rPr>
                <w:rFonts w:hint="eastAsia" w:ascii="宋体" w:hAnsi="宋体" w:cs="宋体"/>
                <w:kern w:val="0"/>
                <w:sz w:val="24"/>
              </w:rPr>
              <w:t>顾客沟通情况；</w:t>
            </w:r>
          </w:p>
          <w:p>
            <w:pPr>
              <w:pStyle w:val="16"/>
              <w:numPr>
                <w:ilvl w:val="0"/>
                <w:numId w:val="1"/>
              </w:numPr>
              <w:autoSpaceDE w:val="0"/>
              <w:autoSpaceDN w:val="0"/>
              <w:snapToGrid w:val="0"/>
              <w:spacing w:line="390" w:lineRule="exact"/>
              <w:ind w:firstLineChars="0"/>
              <w:jc w:val="left"/>
              <w:rPr>
                <w:sz w:val="24"/>
                <w:szCs w:val="22"/>
              </w:rPr>
            </w:pPr>
            <w:r>
              <w:rPr>
                <w:rFonts w:hint="eastAsia" w:ascii="宋体" w:hAnsi="宋体" w:cs="宋体"/>
                <w:kern w:val="0"/>
                <w:sz w:val="24"/>
              </w:rPr>
              <w:t>顾客满意度调查情况；</w:t>
            </w:r>
          </w:p>
          <w:p>
            <w:pPr>
              <w:pStyle w:val="16"/>
              <w:numPr>
                <w:ilvl w:val="0"/>
                <w:numId w:val="1"/>
              </w:numPr>
              <w:autoSpaceDE w:val="0"/>
              <w:autoSpaceDN w:val="0"/>
              <w:snapToGrid w:val="0"/>
              <w:spacing w:line="390" w:lineRule="exact"/>
              <w:ind w:firstLineChars="0"/>
              <w:jc w:val="left"/>
              <w:rPr>
                <w:sz w:val="24"/>
                <w:szCs w:val="22"/>
              </w:rPr>
            </w:pPr>
            <w:r>
              <w:rPr>
                <w:rFonts w:hint="eastAsia" w:ascii="宋体" w:hAnsi="宋体" w:cs="宋体"/>
                <w:kern w:val="0"/>
                <w:sz w:val="24"/>
              </w:rPr>
              <w:t>过程的监视和测量；</w:t>
            </w:r>
          </w:p>
          <w:p>
            <w:pPr>
              <w:pStyle w:val="16"/>
              <w:numPr>
                <w:ilvl w:val="0"/>
                <w:numId w:val="1"/>
              </w:numPr>
              <w:autoSpaceDE w:val="0"/>
              <w:autoSpaceDN w:val="0"/>
              <w:snapToGrid w:val="0"/>
              <w:spacing w:line="390" w:lineRule="exact"/>
              <w:ind w:firstLineChars="0"/>
              <w:jc w:val="left"/>
              <w:rPr>
                <w:sz w:val="24"/>
                <w:szCs w:val="22"/>
              </w:rPr>
            </w:pPr>
            <w:r>
              <w:rPr>
                <w:rFonts w:hint="eastAsia" w:ascii="宋体" w:hAnsi="宋体" w:cs="宋体"/>
                <w:kern w:val="0"/>
                <w:sz w:val="24"/>
              </w:rPr>
              <w:t>采购过程控制；</w:t>
            </w:r>
          </w:p>
          <w:p>
            <w:pPr>
              <w:pStyle w:val="16"/>
              <w:numPr>
                <w:ilvl w:val="0"/>
                <w:numId w:val="1"/>
              </w:numPr>
              <w:autoSpaceDE w:val="0"/>
              <w:autoSpaceDN w:val="0"/>
              <w:snapToGrid w:val="0"/>
              <w:spacing w:line="390" w:lineRule="exact"/>
              <w:ind w:firstLineChars="0"/>
              <w:jc w:val="left"/>
              <w:rPr>
                <w:sz w:val="24"/>
                <w:szCs w:val="22"/>
              </w:rPr>
            </w:pPr>
            <w:r>
              <w:rPr>
                <w:rFonts w:hint="eastAsia" w:ascii="宋体" w:hAnsi="宋体" w:cs="宋体"/>
                <w:kern w:val="0"/>
                <w:sz w:val="24"/>
              </w:rPr>
              <w:t>环境因素的识别与控制、</w:t>
            </w:r>
          </w:p>
          <w:p>
            <w:pPr>
              <w:pStyle w:val="16"/>
              <w:numPr>
                <w:ilvl w:val="0"/>
                <w:numId w:val="1"/>
              </w:numPr>
              <w:autoSpaceDE w:val="0"/>
              <w:autoSpaceDN w:val="0"/>
              <w:snapToGrid w:val="0"/>
              <w:spacing w:line="390" w:lineRule="exact"/>
              <w:ind w:firstLineChars="0"/>
              <w:jc w:val="left"/>
              <w:rPr>
                <w:sz w:val="24"/>
                <w:szCs w:val="22"/>
              </w:rPr>
            </w:pPr>
            <w:r>
              <w:rPr>
                <w:rFonts w:hint="eastAsia" w:ascii="宋体" w:hAnsi="宋体" w:cs="宋体"/>
                <w:kern w:val="0"/>
                <w:sz w:val="24"/>
              </w:rPr>
              <w:t>公司目标方案的执行</w:t>
            </w:r>
          </w:p>
          <w:p>
            <w:pPr>
              <w:pStyle w:val="16"/>
              <w:numPr>
                <w:ilvl w:val="0"/>
                <w:numId w:val="1"/>
              </w:numPr>
              <w:autoSpaceDE w:val="0"/>
              <w:autoSpaceDN w:val="0"/>
              <w:snapToGrid w:val="0"/>
              <w:spacing w:line="390" w:lineRule="exact"/>
              <w:ind w:firstLineChars="0"/>
              <w:jc w:val="left"/>
              <w:rPr>
                <w:sz w:val="24"/>
                <w:szCs w:val="22"/>
              </w:rPr>
            </w:pPr>
            <w:r>
              <w:rPr>
                <w:rFonts w:hint="eastAsia" w:ascii="宋体" w:hAnsi="宋体" w:cs="宋体"/>
                <w:kern w:val="0"/>
                <w:sz w:val="24"/>
              </w:rPr>
              <w:t>、应急准备和相应等</w:t>
            </w:r>
          </w:p>
          <w:p>
            <w:pPr>
              <w:autoSpaceDE w:val="0"/>
              <w:autoSpaceDN w:val="0"/>
              <w:snapToGrid w:val="0"/>
              <w:spacing w:line="390" w:lineRule="exact"/>
              <w:jc w:val="left"/>
              <w:rPr>
                <w:sz w:val="24"/>
                <w:szCs w:val="22"/>
              </w:rPr>
            </w:pPr>
            <w:r>
              <w:rPr>
                <w:rFonts w:hint="eastAsia"/>
                <w:sz w:val="24"/>
                <w:szCs w:val="22"/>
              </w:rPr>
              <w:t>询问供销部经白金荣</w:t>
            </w:r>
            <w:r>
              <w:rPr>
                <w:rFonts w:hint="eastAsia" w:ascii="宋体" w:hAnsi="宋体" w:cs="宋体"/>
                <w:kern w:val="0"/>
                <w:sz w:val="24"/>
                <w:szCs w:val="24"/>
              </w:rPr>
              <w:t>，职责回答明确。</w:t>
            </w:r>
          </w:p>
        </w:tc>
        <w:tc>
          <w:tcPr>
            <w:tcW w:w="1002" w:type="dxa"/>
          </w:tcPr>
          <w:p>
            <w:pPr>
              <w:pStyle w:val="10"/>
            </w:pPr>
          </w:p>
          <w:p>
            <w:pPr>
              <w:pStyle w:val="10"/>
            </w:pPr>
          </w:p>
          <w:p>
            <w:pPr>
              <w:pStyle w:val="10"/>
            </w:pPr>
          </w:p>
          <w:p>
            <w:pPr>
              <w:pStyle w:val="10"/>
            </w:pPr>
          </w:p>
          <w:p>
            <w:pPr>
              <w:pStyle w:val="10"/>
            </w:pPr>
          </w:p>
          <w:p>
            <w:pPr>
              <w:pStyle w:val="10"/>
              <w:ind w:firstLine="230" w:firstLineChars="100"/>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rFonts w:ascii="宋体" w:hAnsi="宋体" w:cs="宋体"/>
                <w:kern w:val="0"/>
                <w:sz w:val="24"/>
              </w:rPr>
            </w:pPr>
            <w:r>
              <w:rPr>
                <w:rFonts w:ascii="宋体" w:hAnsi="宋体" w:cs="宋体"/>
                <w:kern w:val="0"/>
                <w:sz w:val="24"/>
              </w:rPr>
              <w:t>目标、方案</w:t>
            </w:r>
          </w:p>
        </w:tc>
        <w:tc>
          <w:tcPr>
            <w:tcW w:w="2220" w:type="dxa"/>
          </w:tcPr>
          <w:p>
            <w:pPr>
              <w:pStyle w:val="10"/>
              <w:rPr>
                <w:szCs w:val="21"/>
              </w:rPr>
            </w:pPr>
            <w:r>
              <w:rPr>
                <w:rFonts w:hint="eastAsia"/>
                <w:szCs w:val="21"/>
              </w:rPr>
              <w:t>O</w:t>
            </w:r>
            <w:r>
              <w:rPr>
                <w:szCs w:val="21"/>
              </w:rPr>
              <w:t>6.2</w:t>
            </w:r>
          </w:p>
        </w:tc>
        <w:tc>
          <w:tcPr>
            <w:tcW w:w="10040" w:type="dxa"/>
          </w:tcPr>
          <w:p>
            <w:pPr>
              <w:spacing w:line="380" w:lineRule="exact"/>
              <w:rPr>
                <w:sz w:val="24"/>
                <w:szCs w:val="22"/>
              </w:rPr>
            </w:pPr>
            <w:r>
              <w:rPr>
                <w:rFonts w:hint="eastAsia"/>
                <w:sz w:val="24"/>
                <w:szCs w:val="22"/>
              </w:rPr>
              <w:t>公司对管理体系所需的相关职能、层次和过程设定管理目标。</w:t>
            </w:r>
          </w:p>
          <w:p>
            <w:pPr>
              <w:spacing w:line="380" w:lineRule="exact"/>
              <w:rPr>
                <w:bCs/>
                <w:sz w:val="24"/>
                <w:szCs w:val="22"/>
              </w:rPr>
            </w:pPr>
            <w:r>
              <w:rPr>
                <w:rFonts w:hint="eastAsia"/>
                <w:bCs/>
                <w:sz w:val="24"/>
                <w:szCs w:val="22"/>
              </w:rPr>
              <w:t>公司总目标：</w:t>
            </w:r>
          </w:p>
          <w:p>
            <w:pPr>
              <w:spacing w:line="380" w:lineRule="exact"/>
              <w:rPr>
                <w:bCs/>
                <w:sz w:val="24"/>
                <w:szCs w:val="22"/>
              </w:rPr>
            </w:pPr>
            <w:r>
              <w:rPr>
                <w:rFonts w:hint="eastAsia"/>
                <w:bCs/>
                <w:sz w:val="24"/>
                <w:szCs w:val="22"/>
              </w:rPr>
              <w:t xml:space="preserve">1）环境目标：  </w:t>
            </w:r>
          </w:p>
          <w:p>
            <w:pPr>
              <w:spacing w:line="380" w:lineRule="exact"/>
              <w:rPr>
                <w:bCs/>
                <w:sz w:val="24"/>
                <w:szCs w:val="22"/>
              </w:rPr>
            </w:pPr>
            <w:r>
              <w:rPr>
                <w:bCs/>
                <w:sz w:val="24"/>
                <w:szCs w:val="22"/>
              </w:rPr>
              <w:t>1.</w:t>
            </w:r>
            <w:r>
              <w:rPr>
                <w:rFonts w:hint="eastAsia"/>
                <w:bCs/>
                <w:sz w:val="24"/>
                <w:szCs w:val="22"/>
              </w:rPr>
              <w:t>废弃物</w:t>
            </w:r>
            <w:r>
              <w:rPr>
                <w:bCs/>
                <w:sz w:val="24"/>
                <w:szCs w:val="22"/>
              </w:rPr>
              <w:t>100%</w:t>
            </w:r>
            <w:r>
              <w:rPr>
                <w:rFonts w:hint="eastAsia"/>
                <w:bCs/>
                <w:sz w:val="24"/>
                <w:szCs w:val="22"/>
              </w:rPr>
              <w:t>实现分类存放，合理处置。</w:t>
            </w:r>
          </w:p>
          <w:p>
            <w:pPr>
              <w:spacing w:line="380" w:lineRule="exact"/>
              <w:rPr>
                <w:bCs/>
                <w:sz w:val="24"/>
                <w:szCs w:val="22"/>
              </w:rPr>
            </w:pPr>
            <w:r>
              <w:rPr>
                <w:bCs/>
                <w:sz w:val="24"/>
                <w:szCs w:val="22"/>
              </w:rPr>
              <w:t>2.</w:t>
            </w:r>
            <w:r>
              <w:rPr>
                <w:rFonts w:hint="eastAsia"/>
                <w:bCs/>
                <w:sz w:val="24"/>
                <w:szCs w:val="22"/>
              </w:rPr>
              <w:t>杜绝火灾、爆炸事故发生。</w:t>
            </w:r>
          </w:p>
          <w:p>
            <w:pPr>
              <w:spacing w:line="380" w:lineRule="exact"/>
              <w:rPr>
                <w:bCs/>
                <w:sz w:val="24"/>
                <w:szCs w:val="22"/>
              </w:rPr>
            </w:pPr>
            <w:r>
              <w:rPr>
                <w:bCs/>
                <w:sz w:val="24"/>
                <w:szCs w:val="22"/>
              </w:rPr>
              <w:t>3.</w:t>
            </w:r>
            <w:r>
              <w:rPr>
                <w:rFonts w:hint="eastAsia"/>
                <w:bCs/>
                <w:sz w:val="24"/>
                <w:szCs w:val="22"/>
              </w:rPr>
              <w:t>厂界噪声达到《工业企业厂界环境噪声排放标准》(GB12348-2008)II类标准。</w:t>
            </w:r>
          </w:p>
          <w:p>
            <w:pPr>
              <w:spacing w:line="380" w:lineRule="exact"/>
              <w:rPr>
                <w:bCs/>
                <w:sz w:val="24"/>
                <w:szCs w:val="22"/>
              </w:rPr>
            </w:pPr>
            <w:r>
              <w:rPr>
                <w:rFonts w:hint="eastAsia"/>
                <w:bCs/>
                <w:sz w:val="24"/>
                <w:szCs w:val="22"/>
              </w:rPr>
              <w:t>2）安全目标</w:t>
            </w:r>
          </w:p>
          <w:p>
            <w:pPr>
              <w:spacing w:line="380" w:lineRule="exact"/>
              <w:rPr>
                <w:bCs/>
                <w:sz w:val="24"/>
                <w:szCs w:val="22"/>
              </w:rPr>
            </w:pPr>
            <w:r>
              <w:rPr>
                <w:bCs/>
                <w:sz w:val="24"/>
                <w:szCs w:val="22"/>
              </w:rPr>
              <w:t>1.</w:t>
            </w:r>
            <w:r>
              <w:rPr>
                <w:rFonts w:hint="eastAsia"/>
                <w:bCs/>
                <w:sz w:val="24"/>
                <w:szCs w:val="22"/>
              </w:rPr>
              <w:t>杜绝发生死亡、重伤事故。</w:t>
            </w:r>
          </w:p>
          <w:p>
            <w:pPr>
              <w:spacing w:line="380" w:lineRule="exact"/>
              <w:rPr>
                <w:bCs/>
                <w:sz w:val="24"/>
                <w:szCs w:val="22"/>
              </w:rPr>
            </w:pPr>
            <w:r>
              <w:rPr>
                <w:bCs/>
                <w:sz w:val="24"/>
                <w:szCs w:val="22"/>
              </w:rPr>
              <w:t>2.</w:t>
            </w:r>
            <w:r>
              <w:rPr>
                <w:rFonts w:hint="eastAsia"/>
                <w:bCs/>
                <w:sz w:val="24"/>
                <w:szCs w:val="22"/>
              </w:rPr>
              <w:t>轻伤每年不超过</w:t>
            </w:r>
            <w:r>
              <w:rPr>
                <w:bCs/>
                <w:sz w:val="24"/>
                <w:szCs w:val="22"/>
              </w:rPr>
              <w:t>3</w:t>
            </w:r>
            <w:r>
              <w:rPr>
                <w:rFonts w:hint="eastAsia"/>
                <w:bCs/>
                <w:sz w:val="24"/>
                <w:szCs w:val="22"/>
              </w:rPr>
              <w:t>起。</w:t>
            </w:r>
          </w:p>
          <w:p>
            <w:pPr>
              <w:spacing w:line="380" w:lineRule="exact"/>
              <w:rPr>
                <w:bCs/>
                <w:sz w:val="24"/>
                <w:szCs w:val="22"/>
              </w:rPr>
            </w:pPr>
            <w:r>
              <w:rPr>
                <w:bCs/>
                <w:sz w:val="24"/>
                <w:szCs w:val="22"/>
              </w:rPr>
              <w:t>3.</w:t>
            </w:r>
            <w:r>
              <w:rPr>
                <w:rFonts w:hint="eastAsia"/>
                <w:bCs/>
                <w:sz w:val="24"/>
                <w:szCs w:val="22"/>
              </w:rPr>
              <w:t>火灾事故发生率为</w:t>
            </w:r>
            <w:r>
              <w:rPr>
                <w:bCs/>
                <w:sz w:val="24"/>
                <w:szCs w:val="22"/>
              </w:rPr>
              <w:t>0</w:t>
            </w:r>
          </w:p>
          <w:p>
            <w:pPr>
              <w:spacing w:line="380" w:lineRule="exact"/>
              <w:rPr>
                <w:bCs/>
                <w:sz w:val="24"/>
                <w:szCs w:val="22"/>
              </w:rPr>
            </w:pPr>
          </w:p>
          <w:p>
            <w:pPr>
              <w:spacing w:line="380" w:lineRule="exact"/>
              <w:rPr>
                <w:bCs/>
                <w:sz w:val="24"/>
                <w:szCs w:val="22"/>
              </w:rPr>
            </w:pPr>
            <w:r>
              <w:rPr>
                <w:rFonts w:hint="eastAsia"/>
                <w:bCs/>
                <w:sz w:val="24"/>
                <w:szCs w:val="22"/>
              </w:rPr>
              <w:t>供销部的目标为：</w:t>
            </w:r>
          </w:p>
          <w:p>
            <w:pPr>
              <w:numPr>
                <w:ilvl w:val="0"/>
                <w:numId w:val="2"/>
              </w:numPr>
              <w:spacing w:line="380" w:lineRule="exact"/>
              <w:rPr>
                <w:sz w:val="24"/>
                <w:szCs w:val="22"/>
              </w:rPr>
            </w:pPr>
            <w:r>
              <w:rPr>
                <w:rFonts w:hint="eastAsia"/>
                <w:sz w:val="24"/>
                <w:szCs w:val="22"/>
              </w:rPr>
              <w:t>火灾、爆炸事故发生率为0。</w:t>
            </w:r>
          </w:p>
          <w:p>
            <w:pPr>
              <w:numPr>
                <w:ilvl w:val="0"/>
                <w:numId w:val="2"/>
              </w:numPr>
              <w:spacing w:line="380" w:lineRule="exact"/>
              <w:rPr>
                <w:sz w:val="24"/>
                <w:szCs w:val="22"/>
              </w:rPr>
            </w:pPr>
            <w:r>
              <w:rPr>
                <w:rFonts w:hint="eastAsia"/>
                <w:sz w:val="24"/>
                <w:szCs w:val="22"/>
              </w:rPr>
              <w:t>废弃物</w:t>
            </w:r>
            <w:r>
              <w:rPr>
                <w:sz w:val="24"/>
                <w:szCs w:val="22"/>
              </w:rPr>
              <w:t>100%</w:t>
            </w:r>
            <w:r>
              <w:rPr>
                <w:rFonts w:hint="eastAsia"/>
                <w:sz w:val="24"/>
                <w:szCs w:val="22"/>
              </w:rPr>
              <w:t>实现分类存放，合理处置。</w:t>
            </w:r>
          </w:p>
          <w:p>
            <w:pPr>
              <w:numPr>
                <w:ilvl w:val="0"/>
                <w:numId w:val="2"/>
              </w:numPr>
              <w:spacing w:line="380" w:lineRule="exact"/>
              <w:rPr>
                <w:sz w:val="24"/>
                <w:szCs w:val="22"/>
              </w:rPr>
            </w:pPr>
            <w:r>
              <w:rPr>
                <w:rFonts w:hint="eastAsia"/>
                <w:sz w:val="24"/>
                <w:szCs w:val="22"/>
              </w:rPr>
              <w:t>相关方影响率达到95%以上</w:t>
            </w:r>
          </w:p>
          <w:p>
            <w:pPr>
              <w:numPr>
                <w:ilvl w:val="0"/>
                <w:numId w:val="2"/>
              </w:numPr>
              <w:spacing w:line="380" w:lineRule="exact"/>
              <w:rPr>
                <w:sz w:val="24"/>
                <w:szCs w:val="22"/>
              </w:rPr>
            </w:pPr>
            <w:r>
              <w:rPr>
                <w:rFonts w:hint="eastAsia"/>
                <w:sz w:val="24"/>
                <w:szCs w:val="22"/>
              </w:rPr>
              <w:t>杜绝发生死亡、重伤事故</w:t>
            </w:r>
          </w:p>
          <w:p>
            <w:pPr>
              <w:spacing w:line="380" w:lineRule="exact"/>
              <w:ind w:left="420"/>
              <w:rPr>
                <w:sz w:val="24"/>
                <w:szCs w:val="22"/>
              </w:rPr>
            </w:pPr>
            <w:r>
              <w:rPr>
                <w:rFonts w:hint="eastAsia"/>
                <w:sz w:val="24"/>
                <w:szCs w:val="22"/>
              </w:rPr>
              <w:t>目标可测量，与公司管理方针一致。</w:t>
            </w:r>
          </w:p>
          <w:p>
            <w:pPr>
              <w:spacing w:line="380" w:lineRule="exact"/>
              <w:rPr>
                <w:sz w:val="24"/>
                <w:szCs w:val="22"/>
              </w:rPr>
            </w:pPr>
            <w:r>
              <w:rPr>
                <w:rFonts w:hint="eastAsia"/>
                <w:sz w:val="24"/>
                <w:szCs w:val="22"/>
              </w:rPr>
              <w:t>每年由办公室按公司管理目标考核要求统计考核公司管理目标完成情况，提交管理评审会议。查到</w:t>
            </w:r>
            <w:r>
              <w:rPr>
                <w:sz w:val="24"/>
                <w:szCs w:val="22"/>
              </w:rPr>
              <w:t>2020</w:t>
            </w:r>
            <w:r>
              <w:rPr>
                <w:rFonts w:hint="eastAsia"/>
                <w:sz w:val="24"/>
                <w:szCs w:val="22"/>
              </w:rPr>
              <w:t>年2月-</w:t>
            </w:r>
            <w:r>
              <w:rPr>
                <w:sz w:val="24"/>
                <w:szCs w:val="22"/>
              </w:rPr>
              <w:t>7</w:t>
            </w:r>
            <w:r>
              <w:rPr>
                <w:rFonts w:hint="eastAsia"/>
                <w:sz w:val="24"/>
                <w:szCs w:val="22"/>
              </w:rPr>
              <w:t>月，供销部管理目标完成情况，各项目标均已完成，考核部门办公室。</w:t>
            </w:r>
          </w:p>
          <w:p>
            <w:pPr>
              <w:spacing w:line="380" w:lineRule="exact"/>
              <w:rPr>
                <w:sz w:val="24"/>
                <w:szCs w:val="22"/>
              </w:rPr>
            </w:pPr>
          </w:p>
          <w:p>
            <w:pPr>
              <w:spacing w:line="380" w:lineRule="exact"/>
              <w:rPr>
                <w:sz w:val="24"/>
                <w:szCs w:val="22"/>
              </w:rPr>
            </w:pPr>
          </w:p>
        </w:tc>
        <w:tc>
          <w:tcPr>
            <w:tcW w:w="1002" w:type="dxa"/>
          </w:tcPr>
          <w:p>
            <w:pPr>
              <w:pStyle w:val="1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widowControl/>
              <w:jc w:val="left"/>
              <w:rPr>
                <w:rFonts w:ascii="宋体" w:hAnsi="宋体" w:cs="宋体"/>
                <w:kern w:val="0"/>
                <w:sz w:val="24"/>
              </w:rPr>
            </w:pPr>
            <w:r>
              <w:rPr>
                <w:rFonts w:ascii="宋体" w:hAnsi="宋体" w:cs="宋体"/>
                <w:kern w:val="0"/>
                <w:sz w:val="24"/>
              </w:rPr>
              <w:t>危险源识别评价</w:t>
            </w:r>
          </w:p>
        </w:tc>
        <w:tc>
          <w:tcPr>
            <w:tcW w:w="2220" w:type="dxa"/>
          </w:tcPr>
          <w:p>
            <w:pPr>
              <w:pStyle w:val="10"/>
              <w:rPr>
                <w:szCs w:val="21"/>
              </w:rPr>
            </w:pPr>
            <w:r>
              <w:rPr>
                <w:rFonts w:hint="eastAsia"/>
                <w:szCs w:val="21"/>
              </w:rPr>
              <w:t>O</w:t>
            </w:r>
            <w:r>
              <w:rPr>
                <w:szCs w:val="21"/>
              </w:rPr>
              <w:t>6.1.2</w:t>
            </w:r>
          </w:p>
        </w:tc>
        <w:tc>
          <w:tcPr>
            <w:tcW w:w="10040" w:type="dxa"/>
          </w:tcPr>
          <w:p>
            <w:pPr>
              <w:pStyle w:val="10"/>
              <w:rPr>
                <w:bCs w:val="0"/>
                <w:spacing w:val="0"/>
                <w:sz w:val="24"/>
                <w:szCs w:val="22"/>
              </w:rPr>
            </w:pPr>
            <w:r>
              <w:rPr>
                <w:rFonts w:hint="eastAsia"/>
                <w:bCs w:val="0"/>
                <w:spacing w:val="0"/>
                <w:sz w:val="24"/>
                <w:szCs w:val="22"/>
              </w:rPr>
              <w:t>公司日常办公区域共识别出危险源</w:t>
            </w:r>
            <w:r>
              <w:rPr>
                <w:bCs w:val="0"/>
                <w:spacing w:val="0"/>
                <w:sz w:val="24"/>
                <w:szCs w:val="22"/>
              </w:rPr>
              <w:t>33</w:t>
            </w:r>
            <w:r>
              <w:rPr>
                <w:rFonts w:hint="eastAsia"/>
                <w:bCs w:val="0"/>
                <w:spacing w:val="0"/>
                <w:sz w:val="24"/>
                <w:szCs w:val="22"/>
              </w:rPr>
              <w:t>条，包括使用电器不当造成触电、发放现金和取款时受到意外伤害等，其中潜在火灾和意外伤害识别为不可接受风险。</w:t>
            </w:r>
          </w:p>
          <w:p>
            <w:pPr>
              <w:pStyle w:val="10"/>
              <w:rPr>
                <w:rFonts w:hint="eastAsia"/>
                <w:bCs w:val="0"/>
                <w:spacing w:val="0"/>
                <w:sz w:val="24"/>
                <w:szCs w:val="22"/>
              </w:rPr>
            </w:pPr>
            <w:r>
              <w:rPr>
                <w:rFonts w:hint="eastAsia"/>
                <w:bCs w:val="0"/>
                <w:spacing w:val="0"/>
                <w:sz w:val="24"/>
                <w:szCs w:val="22"/>
              </w:rPr>
              <w:t>控制措施均有效。</w:t>
            </w:r>
          </w:p>
          <w:p>
            <w:pPr>
              <w:pStyle w:val="10"/>
              <w:rPr>
                <w:rFonts w:hint="default" w:eastAsia="宋体"/>
                <w:bCs w:val="0"/>
                <w:spacing w:val="0"/>
                <w:sz w:val="24"/>
                <w:szCs w:val="22"/>
                <w:lang w:val="en-US" w:eastAsia="zh-CN"/>
              </w:rPr>
            </w:pPr>
            <w:r>
              <w:rPr>
                <w:rFonts w:hint="eastAsia"/>
                <w:bCs w:val="0"/>
                <w:color w:val="0000FF"/>
                <w:spacing w:val="0"/>
                <w:sz w:val="24"/>
                <w:szCs w:val="22"/>
                <w:lang w:val="en-US" w:eastAsia="zh-CN"/>
              </w:rPr>
              <w:t>现场检查，供销部的危险源识别全面，没有遗漏的内容。</w:t>
            </w:r>
          </w:p>
        </w:tc>
        <w:tc>
          <w:tcPr>
            <w:tcW w:w="1002" w:type="dxa"/>
          </w:tcPr>
          <w:p>
            <w:pPr>
              <w:pStyle w:val="1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trPr>
        <w:tc>
          <w:tcPr>
            <w:tcW w:w="1447" w:type="dxa"/>
            <w:vAlign w:val="center"/>
          </w:tcPr>
          <w:p>
            <w:pPr>
              <w:widowControl/>
              <w:jc w:val="left"/>
              <w:rPr>
                <w:rFonts w:ascii="宋体" w:hAnsi="宋体" w:cs="宋体"/>
                <w:kern w:val="0"/>
                <w:sz w:val="24"/>
              </w:rPr>
            </w:pPr>
            <w:r>
              <w:rPr>
                <w:rFonts w:hint="eastAsia"/>
              </w:rPr>
              <w:t>运行控制</w:t>
            </w:r>
          </w:p>
        </w:tc>
        <w:tc>
          <w:tcPr>
            <w:tcW w:w="2220" w:type="dxa"/>
            <w:vAlign w:val="center"/>
          </w:tcPr>
          <w:p>
            <w:pPr>
              <w:pStyle w:val="10"/>
              <w:rPr>
                <w:szCs w:val="21"/>
              </w:rPr>
            </w:pPr>
            <w:r>
              <w:rPr>
                <w:rFonts w:hint="eastAsia"/>
              </w:rPr>
              <w:t>O8.1</w:t>
            </w:r>
          </w:p>
        </w:tc>
        <w:tc>
          <w:tcPr>
            <w:tcW w:w="10040" w:type="dxa"/>
            <w:vAlign w:val="center"/>
          </w:tcPr>
          <w:p>
            <w:pPr>
              <w:rPr>
                <w:sz w:val="24"/>
                <w:szCs w:val="22"/>
              </w:rPr>
            </w:pPr>
            <w:r>
              <w:rPr>
                <w:rFonts w:hint="eastAsia"/>
                <w:sz w:val="24"/>
                <w:szCs w:val="22"/>
              </w:rPr>
              <w:t>本部门应执行的运行控制文件包括：环境运行控制程序，固体废弃物管理规定、对相关方施加影响管理规定、节能降耗管理规定、消防安全管理制度、综合部安全管理制度、车辆管理规定、电脑使用管理办法等。</w:t>
            </w:r>
          </w:p>
          <w:p>
            <w:pPr>
              <w:rPr>
                <w:sz w:val="24"/>
                <w:szCs w:val="22"/>
              </w:rPr>
            </w:pPr>
            <w:r>
              <w:rPr>
                <w:rFonts w:hint="eastAsia"/>
                <w:sz w:val="24"/>
                <w:szCs w:val="22"/>
              </w:rPr>
              <w:t>查运行控制情况：</w:t>
            </w:r>
          </w:p>
          <w:p>
            <w:pPr>
              <w:rPr>
                <w:sz w:val="24"/>
                <w:szCs w:val="22"/>
              </w:rPr>
            </w:pPr>
            <w:r>
              <w:rPr>
                <w:rFonts w:hint="eastAsia"/>
                <w:sz w:val="24"/>
                <w:szCs w:val="22"/>
              </w:rPr>
              <w:t>火灾：现场配备了消防栓、灭火器，经查均在有效压力范围内。</w:t>
            </w:r>
          </w:p>
          <w:p>
            <w:pPr>
              <w:rPr>
                <w:sz w:val="24"/>
                <w:szCs w:val="22"/>
              </w:rPr>
            </w:pPr>
            <w:r>
              <w:rPr>
                <w:rFonts w:hint="eastAsia"/>
                <w:sz w:val="24"/>
                <w:szCs w:val="22"/>
              </w:rPr>
              <w:t>每月对消防器材进行一次全面检查--提供消防器材检查记录</w:t>
            </w:r>
          </w:p>
          <w:p>
            <w:pPr>
              <w:rPr>
                <w:sz w:val="24"/>
                <w:szCs w:val="22"/>
              </w:rPr>
            </w:pPr>
            <w:r>
              <w:rPr>
                <w:rFonts w:hint="eastAsia"/>
                <w:sz w:val="24"/>
                <w:szCs w:val="22"/>
              </w:rPr>
              <w:t>触电：办公区均使用安全电器，灯具离地距离符合要求，每季度一次检查线路、灯具、电器等的安全性能，经常对员工进行安全用电知识宣贯，确保安全用电，无触电事故发生。</w:t>
            </w:r>
          </w:p>
          <w:p>
            <w:pPr>
              <w:rPr>
                <w:sz w:val="24"/>
                <w:szCs w:val="22"/>
              </w:rPr>
            </w:pPr>
            <w:r>
              <w:rPr>
                <w:rFonts w:hint="eastAsia"/>
                <w:sz w:val="24"/>
                <w:szCs w:val="22"/>
              </w:rPr>
              <w:t>汽车尾气：使用高标号燃油降低汽车尾气有害气体的排放，定期对车辆进行检定，避免事故、尾气达标排放等。</w:t>
            </w:r>
          </w:p>
          <w:p>
            <w:pPr>
              <w:rPr>
                <w:sz w:val="24"/>
                <w:szCs w:val="22"/>
              </w:rPr>
            </w:pPr>
            <w:r>
              <w:rPr>
                <w:rFonts w:hint="eastAsia"/>
                <w:sz w:val="24"/>
                <w:szCs w:val="22"/>
              </w:rPr>
              <w:t>办公过程注意节约用电，做到人走灯灭，电脑长时间不用时关机，下班前要关闭电源；</w:t>
            </w:r>
          </w:p>
          <w:p>
            <w:pPr>
              <w:rPr>
                <w:sz w:val="24"/>
                <w:szCs w:val="22"/>
              </w:rPr>
            </w:pPr>
            <w:r>
              <w:rPr>
                <w:rFonts w:hint="eastAsia"/>
                <w:sz w:val="24"/>
                <w:szCs w:val="22"/>
              </w:rPr>
              <w:t xml:space="preserve">办公过程产生的固废按综合部要求放到指定地点，现场无混放现象；办公用品按要求由综合部负责发放，作好记录； </w:t>
            </w:r>
          </w:p>
          <w:p>
            <w:pPr>
              <w:rPr>
                <w:sz w:val="24"/>
                <w:szCs w:val="22"/>
              </w:rPr>
            </w:pPr>
            <w:r>
              <w:rPr>
                <w:rFonts w:hint="eastAsia"/>
                <w:color w:val="0000FF"/>
                <w:sz w:val="24"/>
                <w:szCs w:val="22"/>
                <w:lang w:val="en-US" w:eastAsia="zh-CN"/>
              </w:rPr>
              <w:t>现场检查供销部运行控制情况：</w:t>
            </w:r>
            <w:r>
              <w:rPr>
                <w:rFonts w:hint="eastAsia"/>
                <w:color w:val="0000FF"/>
                <w:sz w:val="24"/>
                <w:szCs w:val="22"/>
              </w:rPr>
              <w:t>现场配备了消防栓、灭火器，经查均在有效压力范围内。办公区均使用安全电器，灯具离地距离符合要求，每季度一次检查线路、灯具、电器等的安全性能，经常对员工进行安全用电知识宣贯，确保安全用电，无触电事故发生。</w:t>
            </w:r>
          </w:p>
        </w:tc>
        <w:tc>
          <w:tcPr>
            <w:tcW w:w="1002" w:type="dxa"/>
            <w:vAlign w:val="center"/>
          </w:tcPr>
          <w:p/>
          <w:p/>
          <w:p>
            <w:pPr>
              <w:rPr>
                <w:rFonts w:hint="default" w:eastAsia="宋体"/>
                <w:lang w:val="en-US" w:eastAsia="zh-CN"/>
              </w:rPr>
            </w:pPr>
            <w:r>
              <w:rPr>
                <w:rFonts w:hint="eastAsia"/>
                <w:lang w:val="en-US" w:eastAsia="zh-CN"/>
              </w:rPr>
              <w:t xml:space="preserve">   y</w:t>
            </w:r>
          </w:p>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47" w:type="dxa"/>
          </w:tcPr>
          <w:p>
            <w:pPr>
              <w:widowControl/>
              <w:jc w:val="left"/>
              <w:rPr>
                <w:rFonts w:ascii="宋体" w:hAnsi="宋体" w:cs="宋体"/>
                <w:kern w:val="0"/>
                <w:sz w:val="24"/>
              </w:rPr>
            </w:pPr>
            <w:r>
              <w:rPr>
                <w:rFonts w:ascii="宋体" w:hAnsi="宋体" w:cs="宋体"/>
                <w:kern w:val="0"/>
                <w:sz w:val="24"/>
              </w:rPr>
              <w:t>应急准备和响应</w:t>
            </w:r>
          </w:p>
        </w:tc>
        <w:tc>
          <w:tcPr>
            <w:tcW w:w="2220" w:type="dxa"/>
          </w:tcPr>
          <w:p>
            <w:pPr>
              <w:pStyle w:val="10"/>
            </w:pPr>
            <w:r>
              <w:rPr>
                <w:rFonts w:hint="eastAsia"/>
              </w:rPr>
              <w:t>O8.2</w:t>
            </w:r>
          </w:p>
        </w:tc>
        <w:tc>
          <w:tcPr>
            <w:tcW w:w="10040" w:type="dxa"/>
          </w:tcPr>
          <w:p>
            <w:pPr>
              <w:pStyle w:val="15"/>
              <w:spacing w:line="360" w:lineRule="exact"/>
              <w:ind w:firstLine="480"/>
              <w:jc w:val="left"/>
              <w:rPr>
                <w:kern w:val="2"/>
                <w:sz w:val="24"/>
                <w:szCs w:val="22"/>
              </w:rPr>
            </w:pPr>
            <w:r>
              <w:rPr>
                <w:rFonts w:hint="eastAsia"/>
                <w:kern w:val="2"/>
                <w:sz w:val="24"/>
                <w:szCs w:val="22"/>
              </w:rPr>
              <w:t>1、查策划有《应急准备与响应控制程序》，编制有《火灾事故应急预案》。</w:t>
            </w:r>
          </w:p>
          <w:p>
            <w:pPr>
              <w:pStyle w:val="15"/>
              <w:spacing w:line="360" w:lineRule="exact"/>
              <w:ind w:firstLine="480"/>
              <w:jc w:val="left"/>
              <w:rPr>
                <w:kern w:val="2"/>
                <w:sz w:val="24"/>
                <w:szCs w:val="22"/>
              </w:rPr>
            </w:pPr>
            <w:r>
              <w:rPr>
                <w:rFonts w:hint="eastAsia"/>
                <w:kern w:val="2"/>
                <w:sz w:val="24"/>
                <w:szCs w:val="22"/>
              </w:rPr>
              <w:t>2、应急准备工作开展以下活动建立有应急组织，提供应急组织机构图、消防队人员名单、职责权限规定等配备相应的消防器材。进行消防常识和能力的培训、潜在的火灾爆炸的常识和能力的培训</w:t>
            </w:r>
          </w:p>
          <w:p>
            <w:pPr>
              <w:pStyle w:val="15"/>
              <w:spacing w:line="360" w:lineRule="exact"/>
              <w:ind w:firstLine="480"/>
              <w:jc w:val="left"/>
              <w:rPr>
                <w:kern w:val="2"/>
                <w:sz w:val="24"/>
                <w:szCs w:val="22"/>
              </w:rPr>
            </w:pPr>
            <w:r>
              <w:rPr>
                <w:rFonts w:hint="eastAsia"/>
                <w:kern w:val="2"/>
                <w:sz w:val="24"/>
                <w:szCs w:val="22"/>
              </w:rPr>
              <w:t>3、介绍开展了消防器材的使用和人员紧急疏散演练活动：</w:t>
            </w:r>
          </w:p>
          <w:p>
            <w:pPr>
              <w:pStyle w:val="15"/>
              <w:spacing w:line="360" w:lineRule="exact"/>
              <w:ind w:firstLine="0" w:firstLineChars="0"/>
              <w:jc w:val="left"/>
              <w:rPr>
                <w:kern w:val="2"/>
                <w:sz w:val="24"/>
                <w:szCs w:val="22"/>
              </w:rPr>
            </w:pPr>
            <w:r>
              <w:rPr>
                <w:rFonts w:hint="eastAsia"/>
                <w:kern w:val="2"/>
                <w:sz w:val="24"/>
                <w:szCs w:val="22"/>
              </w:rPr>
              <w:t>提供有“消防演习记录”。演练时间：2020年4月5日；演练组织部门：办公室；参加人员：全体演练效果评价记录：通过演练，证明预案基本适宜，全体人员对预案的要求有了比较适宜的操作方法，可以有效履行预案的要求。对消防应急预案的适用性、可操作性进行评审；符合要求。</w:t>
            </w:r>
          </w:p>
          <w:p>
            <w:pPr>
              <w:pStyle w:val="15"/>
              <w:spacing w:line="360" w:lineRule="exact"/>
              <w:ind w:firstLine="0" w:firstLineChars="0"/>
              <w:jc w:val="left"/>
              <w:rPr>
                <w:kern w:val="2"/>
                <w:sz w:val="24"/>
                <w:szCs w:val="22"/>
              </w:rPr>
            </w:pPr>
            <w:r>
              <w:rPr>
                <w:rFonts w:hint="eastAsia"/>
                <w:kern w:val="2"/>
                <w:sz w:val="24"/>
                <w:szCs w:val="22"/>
              </w:rPr>
              <w:t>供销部参加了消防演练。</w:t>
            </w:r>
          </w:p>
        </w:tc>
        <w:tc>
          <w:tcPr>
            <w:tcW w:w="1002" w:type="dxa"/>
          </w:tcPr>
          <w:p>
            <w:pPr>
              <w:pStyle w:val="10"/>
              <w:ind w:firstLine="230" w:firstLineChars="100"/>
            </w:pPr>
          </w:p>
          <w:p>
            <w:pPr>
              <w:pStyle w:val="10"/>
              <w:ind w:firstLine="230" w:firstLineChars="100"/>
            </w:pPr>
          </w:p>
          <w:p>
            <w:pPr>
              <w:pStyle w:val="10"/>
              <w:ind w:firstLine="230" w:firstLineChars="100"/>
            </w:pPr>
          </w:p>
          <w:p>
            <w:pPr>
              <w:pStyle w:val="10"/>
              <w:ind w:firstLine="230" w:firstLineChars="100"/>
            </w:pPr>
          </w:p>
          <w:p>
            <w:pPr>
              <w:pStyle w:val="10"/>
              <w:ind w:firstLine="230" w:firstLineChars="100"/>
            </w:pPr>
          </w:p>
          <w:p>
            <w:pPr>
              <w:pStyle w:val="10"/>
              <w:ind w:firstLine="230" w:firstLineChars="100"/>
            </w:pPr>
            <w:r>
              <w:t>Y</w:t>
            </w:r>
          </w:p>
        </w:tc>
      </w:tr>
    </w:tbl>
    <w:p>
      <w:pPr>
        <w:rPr>
          <w:rFonts w:hint="eastAsia"/>
        </w:rPr>
      </w:pPr>
      <w:r>
        <w:rPr>
          <w:rFonts w:hint="eastAsia"/>
        </w:rPr>
        <w:t>说明：不符合标注N</w:t>
      </w:r>
    </w:p>
    <w:p>
      <w:pPr>
        <w:pStyle w:val="10"/>
        <w:rPr>
          <w:rFonts w:hint="eastAsia"/>
        </w:rPr>
      </w:pPr>
    </w:p>
    <w:p>
      <w:pPr>
        <w:pStyle w:val="10"/>
        <w:rPr>
          <w:rFonts w:hint="eastAsia"/>
        </w:rPr>
      </w:pPr>
    </w:p>
    <w:tbl>
      <w:tblPr>
        <w:tblStyle w:val="7"/>
        <w:tblpPr w:leftFromText="180" w:rightFromText="180" w:vertAnchor="text" w:horzAnchor="page" w:tblpX="1356" w:tblpY="12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048"/>
        <w:gridCol w:w="11657"/>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914" w:type="pct"/>
            <w:noWrap w:val="0"/>
            <w:vAlign w:val="center"/>
          </w:tcPr>
          <w:p>
            <w:pPr>
              <w:rPr>
                <w:rFonts w:hint="eastAsia"/>
              </w:rPr>
            </w:pPr>
            <w:r>
              <w:rPr>
                <w:rFonts w:hint="eastAsia" w:cs="宋体"/>
              </w:rPr>
              <w:t>受审核部门：供销部</w:t>
            </w:r>
            <w:r>
              <w:t xml:space="preserve">  </w:t>
            </w:r>
            <w:r>
              <w:rPr>
                <w:rFonts w:hint="eastAsia"/>
              </w:rPr>
              <w:t xml:space="preserve">   </w:t>
            </w:r>
            <w:r>
              <w:rPr>
                <w:rFonts w:hint="eastAsia" w:cs="宋体"/>
              </w:rPr>
              <w:t>主管领导：</w:t>
            </w:r>
            <w:r>
              <w:rPr>
                <w:rFonts w:hint="eastAsia"/>
                <w:sz w:val="24"/>
                <w:szCs w:val="24"/>
              </w:rPr>
              <w:t>白金荣</w:t>
            </w:r>
            <w:r>
              <w:rPr>
                <w:rFonts w:hint="eastAsia" w:cs="宋体"/>
              </w:rPr>
              <w:t xml:space="preserve"> </w:t>
            </w:r>
          </w:p>
        </w:tc>
        <w:tc>
          <w:tcPr>
            <w:tcW w:w="219"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3" w:type="pct"/>
            <w:vMerge w:val="continue"/>
            <w:noWrap w:val="0"/>
            <w:vAlign w:val="center"/>
          </w:tcPr>
          <w:p/>
        </w:tc>
        <w:tc>
          <w:tcPr>
            <w:tcW w:w="352" w:type="pct"/>
            <w:vMerge w:val="continue"/>
            <w:noWrap w:val="0"/>
            <w:vAlign w:val="center"/>
          </w:tcPr>
          <w:p/>
        </w:tc>
        <w:tc>
          <w:tcPr>
            <w:tcW w:w="3914" w:type="pct"/>
            <w:noWrap w:val="0"/>
            <w:vAlign w:val="center"/>
          </w:tcPr>
          <w:p>
            <w:pPr>
              <w:spacing w:before="120"/>
            </w:pPr>
            <w:r>
              <w:rPr>
                <w:rFonts w:hint="eastAsia" w:cs="宋体"/>
              </w:rPr>
              <w:t>审核员：张星</w:t>
            </w:r>
            <w:r>
              <w:t xml:space="preserve">   </w:t>
            </w:r>
            <w:r>
              <w:rPr>
                <w:rFonts w:hint="eastAsia"/>
              </w:rPr>
              <w:t xml:space="preserve"> </w:t>
            </w:r>
            <w:r>
              <w:t xml:space="preserve"> </w:t>
            </w:r>
            <w:r>
              <w:rPr>
                <w:rFonts w:hint="eastAsia" w:cs="宋体"/>
              </w:rPr>
              <w:t>审核时间：2020.11.9</w:t>
            </w:r>
          </w:p>
        </w:tc>
        <w:tc>
          <w:tcPr>
            <w:tcW w:w="219"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3" w:type="pct"/>
            <w:vMerge w:val="continue"/>
            <w:noWrap w:val="0"/>
            <w:vAlign w:val="center"/>
          </w:tcPr>
          <w:p/>
        </w:tc>
        <w:tc>
          <w:tcPr>
            <w:tcW w:w="352" w:type="pct"/>
            <w:vMerge w:val="continue"/>
            <w:noWrap w:val="0"/>
            <w:vAlign w:val="center"/>
          </w:tcPr>
          <w:p/>
        </w:tc>
        <w:tc>
          <w:tcPr>
            <w:tcW w:w="3914" w:type="pct"/>
            <w:noWrap w:val="0"/>
            <w:vAlign w:val="center"/>
          </w:tcPr>
          <w:p>
            <w:pPr>
              <w:spacing w:line="240" w:lineRule="exact"/>
            </w:pPr>
            <w:r>
              <w:rPr>
                <w:rFonts w:hint="eastAsia" w:cs="宋体"/>
              </w:rPr>
              <w:t>审核条款：</w:t>
            </w:r>
            <w:r>
              <w:t>E5.3/6.2/6.1.2/8.1/8.2</w:t>
            </w:r>
          </w:p>
        </w:tc>
        <w:tc>
          <w:tcPr>
            <w:tcW w:w="219"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r>
              <w:rPr>
                <w:rFonts w:hint="eastAsia" w:cs="宋体"/>
              </w:rPr>
              <w:t>组织的岗位、职责权限</w:t>
            </w:r>
          </w:p>
        </w:tc>
        <w:tc>
          <w:tcPr>
            <w:tcW w:w="352" w:type="pct"/>
            <w:noWrap w:val="0"/>
            <w:vAlign w:val="center"/>
          </w:tcPr>
          <w:p>
            <w:r>
              <w:t>5.3</w:t>
            </w:r>
          </w:p>
        </w:tc>
        <w:tc>
          <w:tcPr>
            <w:tcW w:w="3914" w:type="pct"/>
            <w:noWrap w:val="0"/>
            <w:vAlign w:val="center"/>
          </w:tcPr>
          <w:p>
            <w:r>
              <w:rPr>
                <w:rFonts w:hint="eastAsia" w:cs="宋体"/>
              </w:rPr>
              <w:t>主要负责：产品要求确定；合同评审情况；顾客沟通情况；顾客满意度调查情况；过程的监视和测量；采购过程控制；环境因素的识别与控制、公司目标方案的执行、应急准备和相应等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219" w:type="pct"/>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r>
              <w:rPr>
                <w:rFonts w:hint="eastAsia" w:cs="宋体"/>
              </w:rPr>
              <w:t>目标和方案</w:t>
            </w:r>
          </w:p>
        </w:tc>
        <w:tc>
          <w:tcPr>
            <w:tcW w:w="352" w:type="pct"/>
            <w:noWrap w:val="0"/>
            <w:vAlign w:val="center"/>
          </w:tcPr>
          <w:p>
            <w:r>
              <w:t>6.2</w:t>
            </w:r>
          </w:p>
        </w:tc>
        <w:tc>
          <w:tcPr>
            <w:tcW w:w="3914" w:type="pct"/>
            <w:noWrap w:val="0"/>
            <w:vAlign w:val="center"/>
          </w:tcPr>
          <w:p>
            <w:pPr>
              <w:rPr>
                <w:rFonts w:hint="eastAsia" w:cs="宋体"/>
              </w:rPr>
            </w:pPr>
            <w:r>
              <w:rPr>
                <w:rFonts w:hint="eastAsia" w:cs="宋体"/>
              </w:rPr>
              <w:t>部门目标：</w:t>
            </w:r>
          </w:p>
          <w:p>
            <w:pPr>
              <w:ind w:firstLine="210" w:firstLineChars="100"/>
              <w:rPr>
                <w:rFonts w:hint="eastAsia" w:cs="宋体"/>
              </w:rPr>
            </w:pPr>
            <w:r>
              <w:rPr>
                <w:rFonts w:hint="eastAsia" w:cs="宋体"/>
              </w:rPr>
              <w:t>1.废弃物100%实现分类存放，合理处置</w:t>
            </w:r>
          </w:p>
          <w:p>
            <w:pPr>
              <w:ind w:firstLine="210" w:firstLineChars="100"/>
              <w:rPr>
                <w:rFonts w:hint="eastAsia" w:cs="宋体"/>
              </w:rPr>
            </w:pPr>
            <w:r>
              <w:rPr>
                <w:rFonts w:hint="eastAsia" w:cs="宋体"/>
              </w:rPr>
              <w:t>2.相关方影响率达到95%以上</w:t>
            </w:r>
          </w:p>
          <w:p>
            <w:pPr>
              <w:ind w:firstLine="210" w:firstLineChars="100"/>
              <w:rPr>
                <w:rFonts w:hint="eastAsia"/>
              </w:rPr>
            </w:pPr>
            <w:r>
              <w:rPr>
                <w:rFonts w:hint="eastAsia"/>
              </w:rPr>
              <w:t>查看考核记录，显示：</w:t>
            </w:r>
            <w:r>
              <w:rPr>
                <w:rFonts w:hint="eastAsia" w:cs="宋体"/>
              </w:rPr>
              <w:t>固废分类处置率</w:t>
            </w:r>
            <w:r>
              <w:t>100%</w:t>
            </w:r>
            <w:r>
              <w:rPr>
                <w:rFonts w:hint="eastAsia" w:cs="宋体"/>
              </w:rPr>
              <w:t>；相关方影响率达到100%</w:t>
            </w:r>
          </w:p>
          <w:p>
            <w:r>
              <w:rPr>
                <w:rFonts w:hint="eastAsia"/>
              </w:rPr>
              <w:t>考核人：白明珠2020.07.30</w:t>
            </w:r>
          </w:p>
          <w:p>
            <w:r>
              <w:rPr>
                <w:rFonts w:hint="eastAsia" w:cs="宋体"/>
              </w:rPr>
              <w:t>对以上的目标指标制定了管理方案，同办公室</w:t>
            </w:r>
          </w:p>
        </w:tc>
        <w:tc>
          <w:tcPr>
            <w:tcW w:w="219" w:type="pct"/>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r>
              <w:rPr>
                <w:rFonts w:hint="eastAsia" w:cs="宋体"/>
              </w:rPr>
              <w:t>环境因素</w:t>
            </w:r>
          </w:p>
        </w:tc>
        <w:tc>
          <w:tcPr>
            <w:tcW w:w="352" w:type="pct"/>
            <w:noWrap w:val="0"/>
            <w:vAlign w:val="center"/>
          </w:tcPr>
          <w:p>
            <w:r>
              <w:t>6.1.2</w:t>
            </w:r>
          </w:p>
        </w:tc>
        <w:tc>
          <w:tcPr>
            <w:tcW w:w="3914" w:type="pct"/>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提供《环境因素评价表》，涉及办公区、生产车间等，包括固废废弃、废水、能源的消耗、资源的消耗发生、电能的消耗、原材料损耗、包装箱的废弃、噪声等。</w:t>
            </w:r>
          </w:p>
          <w:p>
            <w:pPr>
              <w:rPr>
                <w:rFonts w:hint="eastAsia" w:ascii="Times New Roman" w:hAnsi="Times New Roman" w:eastAsia="宋体" w:cs="Times New Roman"/>
              </w:rPr>
            </w:pPr>
            <w:r>
              <w:rPr>
                <w:rFonts w:hint="eastAsia" w:ascii="Times New Roman" w:hAnsi="Times New Roman" w:eastAsia="宋体" w:cs="Times New Roman"/>
              </w:rPr>
              <w:t>可以提供《重大环境因素清单》，其中重要环境因素：危险废物、噪声排放、固废。评价准确。</w:t>
            </w:r>
          </w:p>
          <w:p>
            <w:pPr>
              <w:rPr>
                <w:rFonts w:hint="default" w:ascii="Times New Roman" w:hAnsi="Times New Roman" w:eastAsia="宋体" w:cs="Times New Roman"/>
                <w:lang w:val="en-US" w:eastAsia="zh-CN"/>
              </w:rPr>
            </w:pPr>
            <w:r>
              <w:rPr>
                <w:rFonts w:hint="eastAsia" w:ascii="Times New Roman" w:hAnsi="Times New Roman" w:eastAsia="宋体" w:cs="Times New Roman"/>
                <w:color w:val="0000FF"/>
                <w:lang w:val="en-US" w:eastAsia="zh-CN"/>
              </w:rPr>
              <w:t>现场检查，环境因素识别情况，没有遗漏的内容。</w:t>
            </w:r>
          </w:p>
        </w:tc>
        <w:tc>
          <w:tcPr>
            <w:tcW w:w="219" w:type="pct"/>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513" w:type="pct"/>
            <w:noWrap w:val="0"/>
            <w:vAlign w:val="center"/>
          </w:tcPr>
          <w:p>
            <w:r>
              <w:rPr>
                <w:rFonts w:hint="eastAsia" w:cs="宋体"/>
              </w:rPr>
              <w:t>运行控制</w:t>
            </w:r>
          </w:p>
        </w:tc>
        <w:tc>
          <w:tcPr>
            <w:tcW w:w="352" w:type="pct"/>
            <w:noWrap w:val="0"/>
            <w:vAlign w:val="center"/>
          </w:tcPr>
          <w:p>
            <w:r>
              <w:t>8.1</w:t>
            </w:r>
          </w:p>
        </w:tc>
        <w:tc>
          <w:tcPr>
            <w:tcW w:w="3914" w:type="pct"/>
            <w:noWrap w:val="0"/>
            <w:vAlign w:val="center"/>
          </w:tcPr>
          <w:p>
            <w:r>
              <w:rPr>
                <w:rFonts w:hint="eastAsia" w:cs="宋体"/>
              </w:rPr>
              <w:t>本部门应执行的运行控制文件包括：运行控制程序，固体废弃物管理规定、对相关方施加影响管理规定、节能降耗管理规定、消防安全管理制度、办公室安全管理制度、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rPr>
              <w:t>等</w:t>
            </w:r>
          </w:p>
          <w:p>
            <w:r>
              <w:rPr>
                <w:rFonts w:hint="eastAsia" w:cs="宋体"/>
              </w:rPr>
              <w:t>运行控制情况：</w:t>
            </w:r>
          </w:p>
          <w:p>
            <w:r>
              <w:t>1</w:t>
            </w:r>
            <w:r>
              <w:rPr>
                <w:rFonts w:hint="eastAsia" w:cs="宋体"/>
              </w:rPr>
              <w:t>、办公室区域：污水：不涉及污水，没有污水排放。噪声：办公现场不产生明显噪声。</w:t>
            </w:r>
          </w:p>
          <w:p>
            <w:r>
              <w:t>2</w:t>
            </w:r>
            <w:r>
              <w:rPr>
                <w:rFonts w:hint="eastAsia" w:cs="宋体"/>
              </w:rPr>
              <w:t>、办公过程注意节约用电，做到人走灯灭，电脑长时间不用时关机，下班前要关闭电源，防止触电。</w:t>
            </w:r>
          </w:p>
          <w:p>
            <w:r>
              <w:t>3</w:t>
            </w:r>
            <w:r>
              <w:rPr>
                <w:rFonts w:hint="eastAsia" w:cs="宋体"/>
              </w:rPr>
              <w:t>、办公区域、车间禁止吸烟，并配备有效的干粉灭火器。</w:t>
            </w:r>
          </w:p>
          <w:p>
            <w:pPr>
              <w:rPr>
                <w:rFonts w:hint="eastAsia" w:cs="宋体"/>
              </w:rPr>
            </w:pPr>
            <w:r>
              <w:rPr>
                <w:rFonts w:hint="eastAsia"/>
              </w:rPr>
              <w:t>4</w:t>
            </w:r>
            <w:r>
              <w:rPr>
                <w:rFonts w:hint="eastAsia" w:cs="宋体"/>
              </w:rPr>
              <w:t xml:space="preserve">、办公区域、车间，整洁、光线充足，办公条件较好，办公设备安全状态良好，教育员工正确使用办公设备，现场用电基本规范，无乱拉线现象，防止火灾发生。 </w:t>
            </w:r>
          </w:p>
          <w:p>
            <w:pPr>
              <w:rPr>
                <w:rFonts w:cs="宋体"/>
              </w:rPr>
            </w:pPr>
            <w:r>
              <w:rPr>
                <w:rFonts w:hint="eastAsia"/>
              </w:rPr>
              <w:t>5</w:t>
            </w:r>
            <w:r>
              <w:rPr>
                <w:rFonts w:hint="eastAsia" w:cs="宋体"/>
              </w:rPr>
              <w:t>、相关方施加影响：公司能够控制或能够施加影响的相关方有顾客等。提供了“相关方告知书”，将公司的环境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针对产品运输公司，发放了告知书，明确进厂的注意事项，并发放了“致相关供应方的公开信”，施加环境方面的影响。</w:t>
            </w:r>
          </w:p>
          <w:p>
            <w:pPr>
              <w:rPr>
                <w:rFonts w:hint="eastAsia" w:cs="宋体"/>
                <w:color w:val="0000FF"/>
                <w:lang w:val="en-US" w:eastAsia="zh-CN"/>
              </w:rPr>
            </w:pPr>
          </w:p>
          <w:p>
            <w:pPr>
              <w:rPr>
                <w:rFonts w:hint="default" w:eastAsia="宋体" w:cs="宋体"/>
                <w:lang w:val="en-US" w:eastAsia="zh-CN"/>
              </w:rPr>
            </w:pPr>
            <w:r>
              <w:rPr>
                <w:rFonts w:hint="eastAsia" w:cs="宋体"/>
                <w:color w:val="0000FF"/>
                <w:lang w:val="en-US" w:eastAsia="zh-CN"/>
              </w:rPr>
              <w:t>现场检查供销部运行控制情况：</w:t>
            </w:r>
            <w:r>
              <w:rPr>
                <w:rFonts w:hint="eastAsia" w:cs="宋体"/>
                <w:color w:val="0000FF"/>
              </w:rPr>
              <w:t>办公室区域：污水：不涉及污水，没有污水排放。噪声：办公现场不产生明显噪声。办公条件较好，办公设备安全状态良好，教育员工正确使用办公设备，现场用电基本规范，无乱拉线现象，防止火灾发生。 办公区域禁止吸烟，并配备有效的干粉灭火器。</w:t>
            </w:r>
          </w:p>
        </w:tc>
        <w:tc>
          <w:tcPr>
            <w:tcW w:w="219" w:type="pct"/>
            <w:noWrap w:val="0"/>
            <w:vAlign w:val="top"/>
          </w:tcPr>
          <w:p/>
          <w:p/>
          <w:p>
            <w:pPr>
              <w:rPr>
                <w:rFonts w:hint="eastAsia"/>
              </w:rPr>
            </w:pPr>
          </w:p>
          <w:p>
            <w:pPr>
              <w:rPr>
                <w:rFonts w:hint="eastAsia"/>
              </w:rPr>
            </w:pPr>
          </w:p>
          <w:p>
            <w:pPr>
              <w:rPr>
                <w:rFonts w:hint="eastAsia"/>
              </w:rPr>
            </w:pPr>
          </w:p>
          <w:p>
            <w:pPr>
              <w:rPr>
                <w:rFonts w:hint="eastAsia"/>
              </w:rPr>
            </w:pPr>
          </w:p>
          <w:p>
            <w:r>
              <w:rPr>
                <w:rFonts w:hint="eastAsia"/>
              </w:rPr>
              <w:t>Y</w:t>
            </w:r>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3" w:type="pct"/>
            <w:noWrap w:val="0"/>
            <w:vAlign w:val="center"/>
          </w:tcPr>
          <w:p>
            <w:r>
              <w:rPr>
                <w:rFonts w:hint="eastAsia" w:cs="宋体"/>
              </w:rPr>
              <w:t>应急准备和响应</w:t>
            </w:r>
          </w:p>
        </w:tc>
        <w:tc>
          <w:tcPr>
            <w:tcW w:w="352" w:type="pct"/>
            <w:noWrap w:val="0"/>
            <w:vAlign w:val="center"/>
          </w:tcPr>
          <w:p>
            <w:r>
              <w:t>8.2</w:t>
            </w:r>
          </w:p>
        </w:tc>
        <w:tc>
          <w:tcPr>
            <w:tcW w:w="3914" w:type="pct"/>
            <w:noWrap w:val="0"/>
            <w:vAlign w:val="center"/>
          </w:tcPr>
          <w:p>
            <w:r>
              <w:rPr>
                <w:rFonts w:hint="eastAsia" w:cs="宋体"/>
              </w:rPr>
              <w:t>执行《</w:t>
            </w:r>
            <w:r>
              <w:rPr>
                <w:rFonts w:hint="eastAsia" w:cs="宋体"/>
                <w:lang w:val="zh-CN"/>
              </w:rPr>
              <w:t>应急准备和响应控制程序</w:t>
            </w:r>
            <w:r>
              <w:rPr>
                <w:rFonts w:hint="eastAsia" w:cs="宋体"/>
              </w:rPr>
              <w:t>》。</w:t>
            </w:r>
            <w:r>
              <w:rPr>
                <w:rFonts w:hint="eastAsia"/>
              </w:rPr>
              <w:t>2020年4月25日</w:t>
            </w:r>
            <w:r>
              <w:rPr>
                <w:rFonts w:hint="eastAsia" w:cs="宋体"/>
              </w:rPr>
              <w:t>，供销部参加了公司组织消防演练，相关记录详见办公室相关条款。</w:t>
            </w:r>
          </w:p>
        </w:tc>
        <w:tc>
          <w:tcPr>
            <w:tcW w:w="219" w:type="pct"/>
            <w:noWrap w:val="0"/>
            <w:vAlign w:val="top"/>
          </w:tcPr>
          <w:p>
            <w:r>
              <w:rPr>
                <w:rFonts w:hint="eastAsia"/>
              </w:rPr>
              <w:t>Y</w:t>
            </w:r>
          </w:p>
        </w:tc>
      </w:tr>
    </w:tbl>
    <w:p>
      <w:pPr>
        <w:pStyle w:val="10"/>
        <w:rPr>
          <w:rFonts w:hint="eastAsia"/>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42A4B"/>
    <w:multiLevelType w:val="multilevel"/>
    <w:tmpl w:val="20342A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2E02A0"/>
    <w:multiLevelType w:val="multilevel"/>
    <w:tmpl w:val="592E02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3D69"/>
    <w:rsid w:val="001C08D1"/>
    <w:rsid w:val="001C3D69"/>
    <w:rsid w:val="001E0506"/>
    <w:rsid w:val="0026403F"/>
    <w:rsid w:val="00352F47"/>
    <w:rsid w:val="003F3AB0"/>
    <w:rsid w:val="003F58BE"/>
    <w:rsid w:val="00432CB6"/>
    <w:rsid w:val="00443DC4"/>
    <w:rsid w:val="00450958"/>
    <w:rsid w:val="004A2BC3"/>
    <w:rsid w:val="00531051"/>
    <w:rsid w:val="00560F8D"/>
    <w:rsid w:val="0059457F"/>
    <w:rsid w:val="005D6E95"/>
    <w:rsid w:val="00630E32"/>
    <w:rsid w:val="006D16C9"/>
    <w:rsid w:val="006F5CDB"/>
    <w:rsid w:val="006F5F51"/>
    <w:rsid w:val="00717A85"/>
    <w:rsid w:val="00737745"/>
    <w:rsid w:val="007C12F6"/>
    <w:rsid w:val="007E384F"/>
    <w:rsid w:val="008B5699"/>
    <w:rsid w:val="009261F0"/>
    <w:rsid w:val="00963A5D"/>
    <w:rsid w:val="009964DF"/>
    <w:rsid w:val="009A5BFE"/>
    <w:rsid w:val="009E3D6E"/>
    <w:rsid w:val="00A25A70"/>
    <w:rsid w:val="00AE06E5"/>
    <w:rsid w:val="00D60CE3"/>
    <w:rsid w:val="00D927DC"/>
    <w:rsid w:val="00EB792F"/>
    <w:rsid w:val="00F24B09"/>
    <w:rsid w:val="00F61D53"/>
    <w:rsid w:val="00F65DA1"/>
    <w:rsid w:val="039C7714"/>
    <w:rsid w:val="03D96AE0"/>
    <w:rsid w:val="05C452EA"/>
    <w:rsid w:val="09CB2859"/>
    <w:rsid w:val="0A802ED6"/>
    <w:rsid w:val="0BC05367"/>
    <w:rsid w:val="10BC52B0"/>
    <w:rsid w:val="196850DE"/>
    <w:rsid w:val="1AB90925"/>
    <w:rsid w:val="1C6A3D69"/>
    <w:rsid w:val="1E9D20CA"/>
    <w:rsid w:val="205829B9"/>
    <w:rsid w:val="29780EA2"/>
    <w:rsid w:val="29CE582E"/>
    <w:rsid w:val="2CCD63D4"/>
    <w:rsid w:val="2F11410C"/>
    <w:rsid w:val="33A42019"/>
    <w:rsid w:val="35742A03"/>
    <w:rsid w:val="37187BB9"/>
    <w:rsid w:val="38176BAA"/>
    <w:rsid w:val="38481B9D"/>
    <w:rsid w:val="44EB5918"/>
    <w:rsid w:val="49D34275"/>
    <w:rsid w:val="49D80C11"/>
    <w:rsid w:val="4AF46303"/>
    <w:rsid w:val="4DD342A5"/>
    <w:rsid w:val="4F6E0A3B"/>
    <w:rsid w:val="546241A1"/>
    <w:rsid w:val="55B933CF"/>
    <w:rsid w:val="57317E40"/>
    <w:rsid w:val="5BD0174E"/>
    <w:rsid w:val="616B35E6"/>
    <w:rsid w:val="647E6EBA"/>
    <w:rsid w:val="64D309B9"/>
    <w:rsid w:val="66E4533F"/>
    <w:rsid w:val="6C852FAE"/>
    <w:rsid w:val="6D6C43C4"/>
    <w:rsid w:val="7A8E55F9"/>
    <w:rsid w:val="7C977376"/>
    <w:rsid w:val="7EFF0679"/>
    <w:rsid w:val="7F324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adjustRightInd w:val="0"/>
      <w:spacing w:line="312" w:lineRule="atLeast"/>
      <w:ind w:firstLine="420" w:firstLineChars="200"/>
      <w:textAlignment w:val="baseline"/>
    </w:pPr>
    <w:rPr>
      <w:kern w:val="0"/>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221</Words>
  <Characters>1263</Characters>
  <Lines>10</Lines>
  <Paragraphs>2</Paragraphs>
  <TotalTime>1</TotalTime>
  <ScaleCrop>false</ScaleCrop>
  <LinksUpToDate>false</LinksUpToDate>
  <CharactersWithSpaces>1482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2021-04-10T13:33:00Z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454226CA0A86404488A8BE47F1965100</vt:lpwstr>
  </property>
</Properties>
</file>