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53"/>
        <w:gridCol w:w="6"/>
        <w:gridCol w:w="567"/>
        <w:gridCol w:w="1107"/>
        <w:gridCol w:w="135"/>
        <w:gridCol w:w="75"/>
        <w:gridCol w:w="101"/>
        <w:gridCol w:w="589"/>
        <w:gridCol w:w="261"/>
        <w:gridCol w:w="364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神木市力特煤矿设备有限公司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陕西省榆林市神木市滨河新区神南产业发展公司园区内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刘德华</w:t>
            </w:r>
            <w:bookmarkEnd w:id="2"/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19929123800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719000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524815035@qq.com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0622-2020-EO</w:t>
            </w:r>
            <w:bookmarkEnd w:id="8"/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E：乳化液泵站的制造所涉及的相关环境管理活动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O：乳化液泵站的制造所涉及的相关职业健康安全管理活动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E：18.01.02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2021年03月30日 上午至2021年03月30日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2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张波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23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O:18.01.02</w:t>
            </w:r>
          </w:p>
        </w:tc>
        <w:tc>
          <w:tcPr>
            <w:tcW w:w="152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18166685269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209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20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4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382" w:type="dxa"/>
            <w:vAlign w:val="center"/>
          </w:tcPr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8:00-8:30</w:t>
            </w:r>
          </w:p>
        </w:tc>
        <w:tc>
          <w:tcPr>
            <w:tcW w:w="620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4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6209" w:type="dxa"/>
            <w:vAlign w:val="center"/>
          </w:tcPr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</w:t>
            </w:r>
            <w:r>
              <w:rPr>
                <w:rFonts w:hint="eastAsia"/>
                <w:bCs/>
                <w:sz w:val="21"/>
                <w:szCs w:val="21"/>
              </w:rPr>
              <w:t>合规义务；</w:t>
            </w:r>
            <w:r>
              <w:rPr>
                <w:bCs/>
                <w:sz w:val="21"/>
                <w:szCs w:val="21"/>
              </w:rPr>
              <w:t>危险源辨识、风险评价；监视和测量总则；管理评审；总则；持续改进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资质验证/范围再确认/一阶段问题验证/投诉或事故/政府主管部门监督抽查情况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EO4.1/4.2/4.3/4.4/5.1/5.2/5.3/6.1/6.2/7.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/9.1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bCs/>
                <w:sz w:val="21"/>
                <w:szCs w:val="21"/>
              </w:rPr>
              <w:t>9.3/10.1/10.3</w:t>
            </w:r>
          </w:p>
        </w:tc>
        <w:tc>
          <w:tcPr>
            <w:tcW w:w="14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0-12:00</w:t>
            </w:r>
          </w:p>
        </w:tc>
        <w:tc>
          <w:tcPr>
            <w:tcW w:w="620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sz w:val="21"/>
                <w:szCs w:val="21"/>
              </w:rPr>
              <w:t>：组织的岗位、职责权限；目标、方案；环境因素/危险源识别评价；应急准备和响应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E5.3/6.2/6.1.2/8.1/8.2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O5.3/6.2/6.1.2/8.1/8.2</w:t>
            </w:r>
          </w:p>
        </w:tc>
        <w:tc>
          <w:tcPr>
            <w:tcW w:w="14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13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bCs/>
                <w:sz w:val="21"/>
                <w:szCs w:val="21"/>
              </w:rPr>
              <w:t>:00</w:t>
            </w:r>
          </w:p>
        </w:tc>
        <w:tc>
          <w:tcPr>
            <w:tcW w:w="620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sz w:val="21"/>
                <w:szCs w:val="21"/>
              </w:rPr>
              <w:t>：组织的岗位、职责权限；目标、方案；环境因素/危险源识别评价；应急准备和响应</w:t>
            </w:r>
          </w:p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E5.3/6.2/6.1.2/8.1/8.2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O5.3/6.2/6.1.2/8.1/8.2</w:t>
            </w:r>
          </w:p>
        </w:tc>
        <w:tc>
          <w:tcPr>
            <w:tcW w:w="14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20"/>
              </w:rPr>
              <w:t>ISC-JSZJ-196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20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</w:t>
            </w:r>
            <w:r>
              <w:rPr>
                <w:sz w:val="21"/>
                <w:szCs w:val="21"/>
              </w:rPr>
              <w:t>：组织的岗位、职责权限；能力、培训和意识；信息交流、沟通参与和协商；文件总则、文件和记录控制；运行控制；内部审核；事件、不合格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纠正措施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应急准备和响应</w:t>
            </w:r>
          </w:p>
          <w:p>
            <w:pPr>
              <w:spacing w:line="300" w:lineRule="exact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E5.3/7.2/7.3/7.4/7.5/8.1/9.2/10.2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O6.2/6.1.2/</w:t>
            </w:r>
            <w:r>
              <w:rPr>
                <w:rFonts w:hint="eastAsia"/>
                <w:sz w:val="21"/>
                <w:szCs w:val="21"/>
              </w:rPr>
              <w:t>6.1.3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8.2/9.1.1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9.1.2</w:t>
            </w:r>
          </w:p>
        </w:tc>
        <w:tc>
          <w:tcPr>
            <w:tcW w:w="14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line="300" w:lineRule="exact"/>
              <w:rPr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</w:rPr>
              <w:t>7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20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4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20"/>
              </w:rPr>
              <w:t>ISC-JSZJ-196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06779"/>
    <w:rsid w:val="1F132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2021-04-10T12:49:13Z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427ED0881CC94FD484964E8AB08B4AFA</vt:lpwstr>
  </property>
</Properties>
</file>