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bCs/>
          <w:sz w:val="30"/>
          <w:szCs w:val="30"/>
        </w:rPr>
      </w:pPr>
      <w:r>
        <w:rPr>
          <w:b/>
          <w:bCs/>
          <w:sz w:val="30"/>
          <w:szCs w:val="30"/>
        </w:rPr>
        <w:t>附1：</w:t>
      </w:r>
    </w:p>
    <w:p>
      <w:pPr>
        <w:pStyle w:val="2"/>
        <w:spacing w:line="240" w:lineRule="auto"/>
        <w:jc w:val="center"/>
        <w:rPr>
          <w:rFonts w:hint="default" w:ascii="Times New Roman" w:hAnsi="Times New Roman" w:eastAsia="宋体" w:cs="Times New Roman"/>
          <w:b/>
          <w:bCs/>
          <w:sz w:val="28"/>
          <w:szCs w:val="28"/>
          <w:lang w:val="en-US" w:eastAsia="zh-CN"/>
        </w:rPr>
      </w:pPr>
    </w:p>
    <w:p>
      <w:pPr>
        <w:pStyle w:val="2"/>
        <w:spacing w:line="240" w:lineRule="auto"/>
        <w:jc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聚丙烯（PP-R）给水</w:t>
      </w:r>
      <w:r>
        <w:rPr>
          <w:rFonts w:hint="default" w:ascii="Times New Roman" w:hAnsi="Times New Roman" w:eastAsia="宋体" w:cs="Times New Roman"/>
          <w:b/>
          <w:bCs/>
          <w:sz w:val="28"/>
          <w:szCs w:val="28"/>
        </w:rPr>
        <w:t>管材Φ</w:t>
      </w:r>
      <w:r>
        <w:rPr>
          <w:rFonts w:hint="default" w:ascii="Times New Roman" w:hAnsi="Times New Roman" w:eastAsia="宋体" w:cs="Times New Roman"/>
          <w:b/>
          <w:bCs/>
          <w:sz w:val="28"/>
          <w:szCs w:val="28"/>
          <w:lang w:val="en-US" w:eastAsia="zh-CN"/>
        </w:rPr>
        <w:t>50mm外径</w:t>
      </w:r>
      <w:r>
        <w:rPr>
          <w:rFonts w:hint="default" w:ascii="Times New Roman" w:hAnsi="Times New Roman" w:eastAsia="宋体" w:cs="Times New Roman"/>
          <w:b/>
          <w:bCs/>
          <w:sz w:val="28"/>
          <w:szCs w:val="28"/>
        </w:rPr>
        <w:t>尺寸测量</w:t>
      </w:r>
      <w:r>
        <w:rPr>
          <w:rFonts w:hint="default" w:ascii="Times New Roman" w:hAnsi="Times New Roman" w:eastAsia="宋体" w:cs="Times New Roman"/>
          <w:b/>
          <w:bCs/>
          <w:sz w:val="28"/>
          <w:szCs w:val="28"/>
          <w:lang w:val="en-US" w:eastAsia="zh-CN"/>
        </w:rPr>
        <w:t>过程</w:t>
      </w:r>
    </w:p>
    <w:p>
      <w:pPr>
        <w:pStyle w:val="2"/>
        <w:spacing w:line="240" w:lineRule="auto"/>
        <w:jc w:val="center"/>
        <w:rPr>
          <w:b/>
          <w:bCs/>
          <w:snapToGrid w:val="0"/>
          <w:kern w:val="0"/>
          <w:sz w:val="30"/>
          <w:szCs w:val="30"/>
        </w:rPr>
      </w:pPr>
      <w:r>
        <w:rPr>
          <w:rFonts w:hint="default" w:ascii="Times New Roman" w:hAnsi="Times New Roman" w:eastAsia="宋体" w:cs="Times New Roman"/>
          <w:b/>
          <w:bCs/>
          <w:snapToGrid w:val="0"/>
          <w:kern w:val="0"/>
          <w:sz w:val="28"/>
          <w:szCs w:val="28"/>
        </w:rPr>
        <w:t>不确</w:t>
      </w:r>
      <w:r>
        <w:rPr>
          <w:b/>
          <w:bCs/>
          <w:snapToGrid w:val="0"/>
          <w:kern w:val="0"/>
          <w:sz w:val="30"/>
          <w:szCs w:val="30"/>
        </w:rPr>
        <w:t>定</w:t>
      </w:r>
      <w:r>
        <w:rPr>
          <w:rFonts w:hint="eastAsia"/>
          <w:b/>
          <w:bCs/>
          <w:snapToGrid w:val="0"/>
          <w:kern w:val="0"/>
          <w:sz w:val="30"/>
          <w:szCs w:val="30"/>
          <w:lang w:val="en-US" w:eastAsia="zh-CN"/>
        </w:rPr>
        <w:t>度</w:t>
      </w:r>
      <w:r>
        <w:rPr>
          <w:b/>
          <w:bCs/>
          <w:snapToGrid w:val="0"/>
          <w:kern w:val="0"/>
          <w:sz w:val="30"/>
          <w:szCs w:val="30"/>
        </w:rPr>
        <w:t>评定报告</w:t>
      </w:r>
    </w:p>
    <w:p>
      <w:pPr>
        <w:spacing w:line="360" w:lineRule="auto"/>
        <w:rPr>
          <w:bCs/>
          <w:sz w:val="24"/>
        </w:rPr>
      </w:pPr>
      <w:r>
        <w:rPr>
          <w:bCs/>
          <w:sz w:val="24"/>
        </w:rPr>
        <w:t>1、测量过程</w:t>
      </w:r>
      <w:r>
        <w:rPr>
          <w:sz w:val="24"/>
        </w:rPr>
        <w:br w:type="textWrapping"/>
      </w:r>
      <w:r>
        <w:rPr>
          <w:bCs/>
          <w:sz w:val="24"/>
        </w:rPr>
        <w:t>1.1</w:t>
      </w:r>
      <w:r>
        <w:rPr>
          <w:sz w:val="24"/>
        </w:rPr>
        <w:t>、测量方法：</w:t>
      </w:r>
      <w:r>
        <w:rPr>
          <w:bCs/>
          <w:sz w:val="24"/>
        </w:rPr>
        <w:t xml:space="preserve"> GB/T8806-2008《塑料管道系统 塑料部件尺寸的测定》</w:t>
      </w:r>
      <w:r>
        <w:rPr>
          <w:sz w:val="24"/>
        </w:rPr>
        <w:t>及仪器使用说明书和相关操作规范</w:t>
      </w:r>
      <w:r>
        <w:rPr>
          <w:bCs/>
          <w:sz w:val="24"/>
        </w:rPr>
        <w:t>进行测量。</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1.2、环境条件：常温</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1.3、检测设备：</w:t>
      </w:r>
      <w:r>
        <w:rPr>
          <w:rFonts w:hint="eastAsia"/>
          <w:color w:val="000000" w:themeColor="text1"/>
          <w:sz w:val="24"/>
          <w:lang w:val="en-US" w:eastAsia="zh-CN"/>
          <w14:textFill>
            <w14:solidFill>
              <w14:schemeClr w14:val="tx1"/>
            </w14:solidFill>
          </w14:textFill>
        </w:rPr>
        <w:t>游标</w:t>
      </w:r>
      <w:r>
        <w:rPr>
          <w:color w:val="000000" w:themeColor="text1"/>
          <w:sz w:val="24"/>
          <w14:textFill>
            <w14:solidFill>
              <w14:schemeClr w14:val="tx1"/>
            </w14:solidFill>
          </w14:textFill>
        </w:rPr>
        <w:t>卡尺</w:t>
      </w:r>
      <w:r>
        <w:rPr>
          <w:sz w:val="24"/>
        </w:rPr>
        <w:t>（0~</w:t>
      </w:r>
      <w:r>
        <w:rPr>
          <w:rFonts w:hint="eastAsia"/>
          <w:sz w:val="24"/>
          <w:lang w:val="en-US" w:eastAsia="zh-CN"/>
        </w:rPr>
        <w:t>30</w:t>
      </w:r>
      <w:r>
        <w:rPr>
          <w:sz w:val="24"/>
        </w:rPr>
        <w:t>0）mm,最大允许误差±0.0</w:t>
      </w:r>
      <w:r>
        <w:rPr>
          <w:rFonts w:hint="eastAsia"/>
          <w:sz w:val="24"/>
          <w:lang w:val="en-US" w:eastAsia="zh-CN"/>
        </w:rPr>
        <w:t>4</w:t>
      </w:r>
      <w:r>
        <w:rPr>
          <w:sz w:val="24"/>
        </w:rPr>
        <w:t>mm</w:t>
      </w:r>
      <w:r>
        <w:rPr>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1.4、被测对象：</w:t>
      </w:r>
      <w:r>
        <w:rPr>
          <w:rFonts w:hint="eastAsia" w:asciiTheme="minorEastAsia" w:hAnsiTheme="minorEastAsia" w:cstheme="minorEastAsia"/>
          <w:sz w:val="24"/>
          <w:szCs w:val="24"/>
          <w:lang w:val="en-US" w:eastAsia="zh-CN"/>
        </w:rPr>
        <w:t>聚丙烯（PP-R）给水</w:t>
      </w:r>
      <w:r>
        <w:rPr>
          <w:rFonts w:ascii="Times New Roman" w:hAnsi="Times New Roman" w:cs="Times New Roman"/>
          <w:sz w:val="24"/>
          <w:szCs w:val="24"/>
        </w:rPr>
        <w:t>管材</w:t>
      </w:r>
      <w:r>
        <w:rPr>
          <w:rFonts w:hint="eastAsia" w:ascii="宋体" w:hAnsi="宋体" w:eastAsia="宋体" w:cs="宋体"/>
          <w:sz w:val="24"/>
          <w:szCs w:val="24"/>
        </w:rPr>
        <w:t>Φ</w:t>
      </w:r>
      <w:r>
        <w:rPr>
          <w:rFonts w:hint="eastAsia" w:ascii="宋体" w:hAnsi="宋体" w:eastAsia="宋体" w:cs="宋体"/>
          <w:sz w:val="24"/>
          <w:szCs w:val="24"/>
          <w:lang w:val="en-US" w:eastAsia="zh-CN"/>
        </w:rPr>
        <w:t>5</w:t>
      </w:r>
      <w:r>
        <w:rPr>
          <w:rFonts w:hint="eastAsia" w:asciiTheme="minorEastAsia" w:hAnsiTheme="minorEastAsia" w:cstheme="minorEastAsia"/>
          <w:sz w:val="24"/>
          <w:szCs w:val="24"/>
          <w:lang w:val="en-US" w:eastAsia="zh-CN"/>
        </w:rPr>
        <w:t>0mm</w:t>
      </w:r>
      <w:r>
        <w:rPr>
          <w:rFonts w:hint="eastAsia" w:ascii="Times New Roman" w:hAnsi="Times New Roman" w:cs="Times New Roman"/>
          <w:sz w:val="24"/>
          <w:szCs w:val="24"/>
          <w:lang w:val="en-US" w:eastAsia="zh-CN"/>
        </w:rPr>
        <w:t>外径</w:t>
      </w:r>
      <w:r>
        <w:rPr>
          <w:rFonts w:ascii="Times New Roman" w:hAnsi="Times New Roman" w:cs="Times New Roman"/>
          <w:sz w:val="24"/>
          <w:szCs w:val="24"/>
        </w:rPr>
        <w:t>尺寸测量</w:t>
      </w:r>
      <w:r>
        <w:rPr>
          <w:rFonts w:hint="eastAsia" w:ascii="Times New Roman" w:hAnsi="Times New Roman" w:cs="Times New Roman"/>
          <w:sz w:val="24"/>
          <w:szCs w:val="24"/>
          <w:lang w:val="en-US" w:eastAsia="zh-CN"/>
        </w:rPr>
        <w:t>过程</w:t>
      </w:r>
      <w:r>
        <w:rPr>
          <w:sz w:val="24"/>
          <w:szCs w:val="24"/>
        </w:rPr>
        <w:t>：</w:t>
      </w:r>
      <w:r>
        <w:rPr>
          <w:rFonts w:hint="eastAsia" w:ascii="Times New Roman" w:hAnsi="Times New Roman" w:cs="Times New Roman"/>
          <w:color w:val="auto"/>
          <w:szCs w:val="21"/>
          <w:lang w:val="en-US" w:eastAsia="zh-CN"/>
        </w:rPr>
        <w:t>（50-50.5</w:t>
      </w:r>
      <w:r>
        <w:rPr>
          <w:rFonts w:hint="eastAsia" w:ascii="Times New Roman" w:hAnsi="Times New Roman" w:eastAsia="宋体" w:cs="Times New Roman"/>
          <w:color w:val="auto"/>
          <w:szCs w:val="21"/>
          <w:lang w:val="en-US" w:eastAsia="zh-CN"/>
        </w:rPr>
        <w:t>）mm</w:t>
      </w:r>
      <w:r>
        <w:rPr>
          <w:color w:val="000000" w:themeColor="text1"/>
          <w:kern w:val="0"/>
          <w:sz w:val="24"/>
          <w14:textFill>
            <w14:solidFill>
              <w14:schemeClr w14:val="tx1"/>
            </w14:solidFill>
          </w14:textFill>
        </w:rPr>
        <w:t>。</w:t>
      </w:r>
    </w:p>
    <w:p>
      <w:pPr>
        <w:spacing w:line="360" w:lineRule="auto"/>
        <w:ind w:left="480" w:hanging="480" w:hangingChars="200"/>
        <w:rPr>
          <w:rFonts w:hint="eastAsia"/>
          <w:sz w:val="24"/>
          <w:lang w:val="en-US" w:eastAsia="zh-CN"/>
        </w:rPr>
      </w:pPr>
      <w:r>
        <w:rPr>
          <w:color w:val="000000" w:themeColor="text1"/>
          <w:sz w:val="24"/>
          <w14:textFill>
            <w14:solidFill>
              <w14:schemeClr w14:val="tx1"/>
            </w14:solidFill>
          </w14:textFill>
        </w:rPr>
        <w:t>1.5、测量过程：将被测管件稳固放置，</w:t>
      </w:r>
      <w:r>
        <w:rPr>
          <w:sz w:val="24"/>
        </w:rPr>
        <w:t>将</w:t>
      </w:r>
      <w:r>
        <w:rPr>
          <w:rFonts w:hint="eastAsia"/>
          <w:sz w:val="24"/>
          <w:lang w:val="en-US" w:eastAsia="zh-CN"/>
        </w:rPr>
        <w:t>游标</w:t>
      </w:r>
      <w:r>
        <w:rPr>
          <w:sz w:val="24"/>
        </w:rPr>
        <w:t>卡尺对准零位后，测量管材</w:t>
      </w:r>
      <w:r>
        <w:rPr>
          <w:rFonts w:hint="eastAsia"/>
          <w:sz w:val="24"/>
          <w:lang w:val="en-US" w:eastAsia="zh-CN"/>
        </w:rPr>
        <w:t>外径</w:t>
      </w:r>
    </w:p>
    <w:p>
      <w:pPr>
        <w:spacing w:line="360" w:lineRule="auto"/>
        <w:ind w:left="480" w:hanging="480" w:hangingChars="200"/>
        <w:rPr>
          <w:b/>
          <w:bCs/>
          <w:color w:val="FF0000"/>
          <w:sz w:val="24"/>
        </w:rPr>
      </w:pPr>
      <w:r>
        <w:rPr>
          <w:sz w:val="24"/>
        </w:rPr>
        <w:t>尺寸，读取</w:t>
      </w:r>
      <w:r>
        <w:rPr>
          <w:rFonts w:hint="eastAsia"/>
          <w:sz w:val="24"/>
          <w:lang w:val="en-US" w:eastAsia="zh-CN"/>
        </w:rPr>
        <w:t>游标</w:t>
      </w:r>
      <w:r>
        <w:rPr>
          <w:sz w:val="24"/>
        </w:rPr>
        <w:t>卡尺示值即为管材</w:t>
      </w:r>
      <w:r>
        <w:rPr>
          <w:rFonts w:hint="eastAsia"/>
          <w:sz w:val="24"/>
          <w:lang w:val="en-US" w:eastAsia="zh-CN"/>
        </w:rPr>
        <w:t>外径</w:t>
      </w:r>
      <w:r>
        <w:rPr>
          <w:sz w:val="24"/>
        </w:rPr>
        <w:t>尺寸，记录数据</w:t>
      </w:r>
      <w:r>
        <w:rPr>
          <w:bCs/>
          <w:color w:val="000000" w:themeColor="text1"/>
          <w:sz w:val="24"/>
          <w14:textFill>
            <w14:solidFill>
              <w14:schemeClr w14:val="tx1"/>
            </w14:solidFill>
          </w14:textFill>
        </w:rPr>
        <w:t>。</w:t>
      </w:r>
    </w:p>
    <w:p>
      <w:pPr>
        <w:pStyle w:val="10"/>
        <w:numPr>
          <w:ilvl w:val="0"/>
          <w:numId w:val="1"/>
        </w:numPr>
        <w:autoSpaceDE w:val="0"/>
        <w:autoSpaceDN w:val="0"/>
        <w:adjustRightInd w:val="0"/>
        <w:spacing w:line="360" w:lineRule="auto"/>
        <w:ind w:firstLineChars="0"/>
        <w:jc w:val="left"/>
        <w:rPr>
          <w:sz w:val="24"/>
        </w:rPr>
      </w:pPr>
      <w:r>
        <w:rPr>
          <w:b/>
          <w:bCs/>
          <w:color w:val="000000"/>
          <w:sz w:val="24"/>
        </w:rPr>
        <w:t>数学模型</w:t>
      </w:r>
    </w:p>
    <w:p>
      <w:pPr>
        <w:pStyle w:val="10"/>
        <w:numPr>
          <w:numId w:val="0"/>
        </w:numPr>
        <w:autoSpaceDE w:val="0"/>
        <w:autoSpaceDN w:val="0"/>
        <w:adjustRightInd w:val="0"/>
        <w:spacing w:line="360" w:lineRule="auto"/>
        <w:ind w:leftChars="0"/>
        <w:jc w:val="left"/>
        <w:rPr>
          <w:sz w:val="24"/>
        </w:rPr>
      </w:pPr>
      <w:r>
        <w:rPr>
          <w:sz w:val="24"/>
        </w:rPr>
        <w:t xml:space="preserve"> </w:t>
      </w:r>
    </w:p>
    <w:p>
      <w:pPr>
        <w:autoSpaceDE w:val="0"/>
        <w:autoSpaceDN w:val="0"/>
        <w:spacing w:line="360" w:lineRule="auto"/>
        <w:ind w:firstLine="1320" w:firstLineChars="550"/>
        <w:rPr>
          <w:sz w:val="24"/>
        </w:rPr>
      </w:pPr>
      <w:r>
        <w:rPr>
          <w:sz w:val="24"/>
        </w:rPr>
        <w:t xml:space="preserve">   </w:t>
      </w:r>
      <m:oMath>
        <m:r>
          <m:rPr/>
          <w:rPr>
            <w:rFonts w:ascii="Cambria Math" w:hAnsi="Cambria Math"/>
            <w:position w:val="-4"/>
            <w:sz w:val="24"/>
          </w:rPr>
          <m:t>ΔL=L</m:t>
        </m:r>
      </m:oMath>
      <w:r>
        <w:rPr>
          <w:sz w:val="24"/>
        </w:rPr>
        <w:t xml:space="preserve">                                     </w:t>
      </w:r>
    </w:p>
    <w:p>
      <w:pPr>
        <w:spacing w:line="360" w:lineRule="auto"/>
        <w:ind w:firstLine="720" w:firstLineChars="300"/>
        <w:rPr>
          <w:sz w:val="24"/>
        </w:rPr>
      </w:pPr>
      <w:r>
        <w:rPr>
          <w:sz w:val="24"/>
        </w:rPr>
        <w:t>式中：</w:t>
      </w:r>
      <m:oMath>
        <m:r>
          <m:rPr/>
          <w:rPr>
            <w:rFonts w:ascii="Cambria Math" w:hAnsi="Cambria Math"/>
            <w:position w:val="-4"/>
            <w:sz w:val="24"/>
          </w:rPr>
          <m:t>ΔL</m:t>
        </m:r>
      </m:oMath>
      <w:r>
        <w:rPr>
          <w:sz w:val="24"/>
        </w:rPr>
        <w:t xml:space="preserve"> ---管材</w:t>
      </w:r>
      <w:r>
        <w:rPr>
          <w:rFonts w:hint="eastAsia"/>
          <w:sz w:val="24"/>
          <w:lang w:val="en-US" w:eastAsia="zh-CN"/>
        </w:rPr>
        <w:t>外径</w:t>
      </w:r>
      <w:r>
        <w:rPr>
          <w:kern w:val="0"/>
          <w:sz w:val="24"/>
        </w:rPr>
        <w:t>测量结果</w:t>
      </w:r>
      <w:r>
        <w:rPr>
          <w:rFonts w:hint="eastAsia"/>
          <w:kern w:val="0"/>
          <w:sz w:val="24"/>
          <w:lang w:eastAsia="zh-CN"/>
        </w:rPr>
        <w:t>；</w:t>
      </w:r>
      <w:r>
        <w:rPr>
          <w:sz w:val="24"/>
        </w:rPr>
        <w:t>L----管材</w:t>
      </w:r>
      <w:r>
        <w:rPr>
          <w:rFonts w:hint="eastAsia"/>
          <w:sz w:val="24"/>
          <w:lang w:val="en-US" w:eastAsia="zh-CN"/>
        </w:rPr>
        <w:t>外径</w:t>
      </w:r>
      <w:r>
        <w:rPr>
          <w:sz w:val="24"/>
        </w:rPr>
        <w:t>读数值</w:t>
      </w:r>
    </w:p>
    <w:p>
      <w:pPr>
        <w:numPr>
          <w:ilvl w:val="0"/>
          <w:numId w:val="2"/>
        </w:numPr>
        <w:rPr>
          <w:sz w:val="24"/>
        </w:rPr>
      </w:pPr>
      <w:r>
        <w:rPr>
          <w:b/>
          <w:sz w:val="24"/>
        </w:rPr>
        <w:t>输入量的标准不确定度评定</w:t>
      </w:r>
    </w:p>
    <w:p>
      <w:pPr>
        <w:ind w:firstLine="616" w:firstLineChars="257"/>
        <w:rPr>
          <w:bCs/>
          <w:sz w:val="24"/>
        </w:rPr>
      </w:pPr>
      <w:r>
        <w:rPr>
          <w:sz w:val="24"/>
        </w:rPr>
        <w:t>输入量的不确定度来源主要是：测量重复性引起的不确定度</w:t>
      </w:r>
      <w:r>
        <w:rPr>
          <w:position w:val="-10"/>
          <w:sz w:val="24"/>
        </w:rPr>
        <w:object>
          <v:shape id="_x0000_i1025" o:spt="75" type="#_x0000_t75" style="height:16.7pt;width:1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b/>
          <w:bCs/>
          <w:sz w:val="24"/>
        </w:rPr>
        <w:t>；</w:t>
      </w:r>
      <w:r>
        <w:rPr>
          <w:bCs/>
          <w:sz w:val="24"/>
        </w:rPr>
        <w:t>测量设备</w:t>
      </w:r>
      <w:r>
        <w:rPr>
          <w:sz w:val="24"/>
        </w:rPr>
        <w:t>引入的标准不确定度</w:t>
      </w:r>
      <w:r>
        <w:rPr>
          <w:position w:val="-10"/>
          <w:sz w:val="24"/>
        </w:rPr>
        <w:object>
          <v:shape id="_x0000_i1026" o:spt="75" type="#_x0000_t75" style="height:16.7pt;width:12.85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bCs/>
          <w:sz w:val="24"/>
        </w:rPr>
        <w:t>。</w:t>
      </w:r>
    </w:p>
    <w:p>
      <w:pPr>
        <w:rPr>
          <w:sz w:val="24"/>
        </w:rPr>
      </w:pPr>
      <w:r>
        <w:rPr>
          <w:sz w:val="24"/>
        </w:rPr>
        <w:t>3.1测量重复性引起的标准不确定度</w:t>
      </w:r>
      <w:r>
        <w:rPr>
          <w:position w:val="-10"/>
          <w:sz w:val="24"/>
        </w:rPr>
        <w:object>
          <v:shape id="_x0000_i1027" o:spt="75" type="#_x0000_t75" style="height:16.7pt;width:12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sz w:val="24"/>
        </w:rPr>
        <w:t>的评定</w:t>
      </w:r>
    </w:p>
    <w:p>
      <w:pPr>
        <w:spacing w:line="360" w:lineRule="auto"/>
        <w:ind w:firstLine="480"/>
        <w:rPr>
          <w:sz w:val="24"/>
        </w:rPr>
      </w:pPr>
      <w:r>
        <w:rPr>
          <w:sz w:val="24"/>
        </w:rPr>
        <w:t>输入量测量重复性不确定度的来源主要是测量重复性引起的标准不确定度。</w:t>
      </w:r>
    </w:p>
    <w:p>
      <w:pPr>
        <w:spacing w:line="360" w:lineRule="auto"/>
        <w:ind w:firstLine="480"/>
        <w:rPr>
          <w:sz w:val="24"/>
        </w:rPr>
      </w:pPr>
      <w:r>
        <w:rPr>
          <w:sz w:val="24"/>
        </w:rPr>
        <w:t>做A类评定测量：在</w:t>
      </w:r>
      <w:r>
        <w:rPr>
          <w:rFonts w:hint="eastAsia"/>
          <w:sz w:val="24"/>
          <w:lang w:val="en-US" w:eastAsia="zh-CN"/>
        </w:rPr>
        <w:t>游标</w:t>
      </w:r>
      <w:r>
        <w:rPr>
          <w:sz w:val="24"/>
        </w:rPr>
        <w:t>卡尺正常工作状态下，同一组人，用同一台设备，在相临近的时间内，对被测试件连续测量10次，得10个测量数据汇于表1：</w:t>
      </w:r>
    </w:p>
    <w:p>
      <w:pPr>
        <w:spacing w:line="360" w:lineRule="auto"/>
        <w:ind w:firstLine="3600" w:firstLineChars="1500"/>
        <w:rPr>
          <w:sz w:val="24"/>
        </w:rPr>
      </w:pPr>
    </w:p>
    <w:p>
      <w:pPr>
        <w:spacing w:line="360" w:lineRule="auto"/>
        <w:ind w:firstLine="3600" w:firstLineChars="1500"/>
        <w:rPr>
          <w:sz w:val="24"/>
        </w:rPr>
      </w:pPr>
    </w:p>
    <w:p>
      <w:pPr>
        <w:spacing w:line="360" w:lineRule="auto"/>
        <w:rPr>
          <w:sz w:val="24"/>
        </w:rPr>
      </w:pPr>
      <w:bookmarkStart w:id="1" w:name="_GoBack"/>
      <w:bookmarkEnd w:id="1"/>
    </w:p>
    <w:p>
      <w:pPr>
        <w:spacing w:line="360" w:lineRule="auto"/>
        <w:ind w:firstLine="3600" w:firstLineChars="1500"/>
        <w:rPr>
          <w:sz w:val="24"/>
        </w:rPr>
      </w:pPr>
      <w:r>
        <w:rPr>
          <w:sz w:val="24"/>
        </w:rPr>
        <w:t>表1重复性数据</w:t>
      </w:r>
    </w:p>
    <w:tbl>
      <w:tblPr>
        <w:tblStyle w:val="6"/>
        <w:tblpPr w:leftFromText="180" w:rightFromText="180" w:vertAnchor="text" w:horzAnchor="page" w:tblpX="1771" w:tblpY="244"/>
        <w:tblOverlap w:val="never"/>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00"/>
        <w:gridCol w:w="773"/>
        <w:gridCol w:w="864"/>
        <w:gridCol w:w="790"/>
        <w:gridCol w:w="782"/>
        <w:gridCol w:w="764"/>
        <w:gridCol w:w="843"/>
        <w:gridCol w:w="773"/>
        <w:gridCol w:w="829"/>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9" w:type="dxa"/>
            <w:vAlign w:val="center"/>
          </w:tcPr>
          <w:p>
            <w:pPr>
              <w:widowControl/>
              <w:adjustRightInd w:val="0"/>
              <w:spacing w:line="360" w:lineRule="auto"/>
              <w:ind w:firstLine="120" w:firstLineChars="50"/>
              <w:jc w:val="center"/>
              <w:rPr>
                <w:sz w:val="24"/>
              </w:rPr>
            </w:pPr>
            <w:r>
              <w:rPr>
                <w:sz w:val="24"/>
              </w:rPr>
              <w:t>序号</w:t>
            </w:r>
          </w:p>
        </w:tc>
        <w:tc>
          <w:tcPr>
            <w:tcW w:w="800" w:type="dxa"/>
            <w:vAlign w:val="center"/>
          </w:tcPr>
          <w:p>
            <w:pPr>
              <w:widowControl/>
              <w:adjustRightInd w:val="0"/>
              <w:spacing w:line="360" w:lineRule="auto"/>
              <w:ind w:left="237" w:leftChars="113"/>
              <w:jc w:val="center"/>
              <w:rPr>
                <w:sz w:val="24"/>
              </w:rPr>
            </w:pPr>
            <w:r>
              <w:rPr>
                <w:sz w:val="24"/>
              </w:rPr>
              <w:t>1</w:t>
            </w:r>
          </w:p>
        </w:tc>
        <w:tc>
          <w:tcPr>
            <w:tcW w:w="773" w:type="dxa"/>
            <w:vAlign w:val="center"/>
          </w:tcPr>
          <w:p>
            <w:pPr>
              <w:widowControl/>
              <w:adjustRightInd w:val="0"/>
              <w:spacing w:line="360" w:lineRule="auto"/>
              <w:ind w:left="237"/>
              <w:jc w:val="center"/>
              <w:rPr>
                <w:sz w:val="24"/>
              </w:rPr>
            </w:pPr>
            <w:r>
              <w:rPr>
                <w:sz w:val="24"/>
              </w:rPr>
              <w:t>2</w:t>
            </w:r>
          </w:p>
        </w:tc>
        <w:tc>
          <w:tcPr>
            <w:tcW w:w="864" w:type="dxa"/>
            <w:vAlign w:val="center"/>
          </w:tcPr>
          <w:p>
            <w:pPr>
              <w:widowControl/>
              <w:adjustRightInd w:val="0"/>
              <w:spacing w:line="360" w:lineRule="auto"/>
              <w:ind w:left="252"/>
              <w:jc w:val="center"/>
              <w:rPr>
                <w:sz w:val="24"/>
              </w:rPr>
            </w:pPr>
            <w:r>
              <w:rPr>
                <w:sz w:val="24"/>
              </w:rPr>
              <w:t>3</w:t>
            </w:r>
          </w:p>
        </w:tc>
        <w:tc>
          <w:tcPr>
            <w:tcW w:w="790" w:type="dxa"/>
            <w:vAlign w:val="center"/>
          </w:tcPr>
          <w:p>
            <w:pPr>
              <w:widowControl/>
              <w:adjustRightInd w:val="0"/>
              <w:spacing w:line="360" w:lineRule="auto"/>
              <w:ind w:firstLine="120" w:firstLineChars="50"/>
              <w:jc w:val="center"/>
              <w:rPr>
                <w:sz w:val="24"/>
              </w:rPr>
            </w:pPr>
            <w:r>
              <w:rPr>
                <w:sz w:val="24"/>
              </w:rPr>
              <w:t>4</w:t>
            </w:r>
          </w:p>
        </w:tc>
        <w:tc>
          <w:tcPr>
            <w:tcW w:w="782" w:type="dxa"/>
            <w:vAlign w:val="center"/>
          </w:tcPr>
          <w:p>
            <w:pPr>
              <w:widowControl/>
              <w:adjustRightInd w:val="0"/>
              <w:spacing w:line="360" w:lineRule="auto"/>
              <w:ind w:left="103" w:leftChars="49" w:firstLine="120" w:firstLineChars="50"/>
              <w:jc w:val="center"/>
              <w:rPr>
                <w:sz w:val="24"/>
              </w:rPr>
            </w:pPr>
            <w:r>
              <w:rPr>
                <w:sz w:val="24"/>
              </w:rPr>
              <w:t>5</w:t>
            </w:r>
          </w:p>
        </w:tc>
        <w:tc>
          <w:tcPr>
            <w:tcW w:w="764" w:type="dxa"/>
            <w:vAlign w:val="center"/>
          </w:tcPr>
          <w:p>
            <w:pPr>
              <w:widowControl/>
              <w:adjustRightInd w:val="0"/>
              <w:spacing w:line="360" w:lineRule="auto"/>
              <w:ind w:left="237" w:leftChars="113"/>
              <w:jc w:val="center"/>
              <w:rPr>
                <w:sz w:val="24"/>
              </w:rPr>
            </w:pPr>
            <w:r>
              <w:rPr>
                <w:sz w:val="24"/>
              </w:rPr>
              <w:t>6</w:t>
            </w:r>
          </w:p>
        </w:tc>
        <w:tc>
          <w:tcPr>
            <w:tcW w:w="843" w:type="dxa"/>
            <w:vAlign w:val="center"/>
          </w:tcPr>
          <w:p>
            <w:pPr>
              <w:widowControl/>
              <w:adjustRightInd w:val="0"/>
              <w:spacing w:line="360" w:lineRule="auto"/>
              <w:ind w:left="237"/>
              <w:jc w:val="center"/>
              <w:rPr>
                <w:sz w:val="24"/>
              </w:rPr>
            </w:pPr>
            <w:r>
              <w:rPr>
                <w:sz w:val="24"/>
              </w:rPr>
              <w:t>7</w:t>
            </w:r>
          </w:p>
        </w:tc>
        <w:tc>
          <w:tcPr>
            <w:tcW w:w="773" w:type="dxa"/>
            <w:vAlign w:val="center"/>
          </w:tcPr>
          <w:p>
            <w:pPr>
              <w:widowControl/>
              <w:adjustRightInd w:val="0"/>
              <w:spacing w:line="360" w:lineRule="auto"/>
              <w:ind w:left="252"/>
              <w:jc w:val="center"/>
              <w:rPr>
                <w:sz w:val="24"/>
              </w:rPr>
            </w:pPr>
            <w:r>
              <w:rPr>
                <w:sz w:val="24"/>
              </w:rPr>
              <w:t>8</w:t>
            </w:r>
          </w:p>
        </w:tc>
        <w:tc>
          <w:tcPr>
            <w:tcW w:w="829" w:type="dxa"/>
            <w:vAlign w:val="center"/>
          </w:tcPr>
          <w:p>
            <w:pPr>
              <w:widowControl/>
              <w:adjustRightInd w:val="0"/>
              <w:spacing w:line="360" w:lineRule="auto"/>
              <w:ind w:firstLine="120" w:firstLineChars="50"/>
              <w:jc w:val="center"/>
              <w:rPr>
                <w:sz w:val="24"/>
              </w:rPr>
            </w:pPr>
            <w:r>
              <w:rPr>
                <w:sz w:val="24"/>
              </w:rPr>
              <w:t>9</w:t>
            </w:r>
          </w:p>
        </w:tc>
        <w:tc>
          <w:tcPr>
            <w:tcW w:w="800" w:type="dxa"/>
            <w:vAlign w:val="center"/>
          </w:tcPr>
          <w:p>
            <w:pPr>
              <w:widowControl/>
              <w:adjustRightInd w:val="0"/>
              <w:spacing w:line="360" w:lineRule="auto"/>
              <w:ind w:left="103" w:leftChars="49" w:firstLine="120" w:firstLineChars="50"/>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09" w:type="dxa"/>
            <w:vAlign w:val="center"/>
          </w:tcPr>
          <w:p>
            <w:pPr>
              <w:widowControl/>
              <w:adjustRightInd w:val="0"/>
              <w:spacing w:line="360" w:lineRule="auto"/>
              <w:jc w:val="center"/>
              <w:rPr>
                <w:rFonts w:hint="eastAsia" w:eastAsia="宋体"/>
                <w:sz w:val="24"/>
                <w:lang w:eastAsia="zh-CN"/>
              </w:rPr>
            </w:pPr>
            <w:r>
              <w:rPr>
                <w:sz w:val="24"/>
              </w:rPr>
              <w:t>L</w:t>
            </w:r>
            <w:r>
              <w:rPr>
                <w:rFonts w:hint="eastAsia"/>
                <w:sz w:val="24"/>
                <w:lang w:eastAsia="zh-CN"/>
              </w:rPr>
              <w:t>（</w:t>
            </w:r>
            <w:r>
              <w:rPr>
                <w:sz w:val="24"/>
              </w:rPr>
              <w:t>mm</w:t>
            </w:r>
            <w:r>
              <w:rPr>
                <w:rFonts w:hint="eastAsia"/>
                <w:sz w:val="24"/>
                <w:lang w:eastAsia="zh-CN"/>
              </w:rPr>
              <w:t>）</w:t>
            </w:r>
          </w:p>
        </w:tc>
        <w:tc>
          <w:tcPr>
            <w:tcW w:w="800" w:type="dxa"/>
            <w:vAlign w:val="center"/>
          </w:tcPr>
          <w:p>
            <w:pPr>
              <w:widowControl/>
              <w:jc w:val="center"/>
              <w:rPr>
                <w:rFonts w:hint="default" w:eastAsia="宋体"/>
                <w:kern w:val="0"/>
                <w:sz w:val="24"/>
                <w:lang w:val="en-US" w:eastAsia="zh-CN"/>
              </w:rPr>
            </w:pPr>
            <w:r>
              <w:rPr>
                <w:rFonts w:hint="eastAsia"/>
                <w:kern w:val="0"/>
                <w:sz w:val="24"/>
                <w:lang w:val="en-US" w:eastAsia="zh-CN"/>
              </w:rPr>
              <w:t>50.22</w:t>
            </w:r>
          </w:p>
        </w:tc>
        <w:tc>
          <w:tcPr>
            <w:tcW w:w="773" w:type="dxa"/>
            <w:vAlign w:val="center"/>
          </w:tcPr>
          <w:p>
            <w:pPr>
              <w:widowControl/>
              <w:jc w:val="center"/>
              <w:rPr>
                <w:rFonts w:hint="default" w:eastAsia="宋体"/>
                <w:kern w:val="0"/>
                <w:sz w:val="24"/>
                <w:lang w:val="en-US" w:eastAsia="zh-CN"/>
              </w:rPr>
            </w:pPr>
            <w:r>
              <w:rPr>
                <w:rFonts w:hint="eastAsia"/>
                <w:kern w:val="0"/>
                <w:sz w:val="24"/>
                <w:lang w:val="en-US" w:eastAsia="zh-CN"/>
              </w:rPr>
              <w:t>50.28</w:t>
            </w:r>
          </w:p>
        </w:tc>
        <w:tc>
          <w:tcPr>
            <w:tcW w:w="864" w:type="dxa"/>
            <w:vAlign w:val="center"/>
          </w:tcPr>
          <w:p>
            <w:pPr>
              <w:widowControl/>
              <w:jc w:val="center"/>
              <w:rPr>
                <w:rFonts w:hint="default" w:eastAsia="宋体"/>
                <w:kern w:val="0"/>
                <w:sz w:val="24"/>
                <w:lang w:val="en-US" w:eastAsia="zh-CN"/>
              </w:rPr>
            </w:pPr>
            <w:r>
              <w:rPr>
                <w:rFonts w:hint="eastAsia"/>
                <w:kern w:val="0"/>
                <w:sz w:val="24"/>
                <w:lang w:val="en-US" w:eastAsia="zh-CN"/>
              </w:rPr>
              <w:t>50.26</w:t>
            </w:r>
          </w:p>
        </w:tc>
        <w:tc>
          <w:tcPr>
            <w:tcW w:w="790" w:type="dxa"/>
            <w:vAlign w:val="center"/>
          </w:tcPr>
          <w:p>
            <w:pPr>
              <w:widowControl/>
              <w:jc w:val="center"/>
              <w:rPr>
                <w:rFonts w:hint="eastAsia" w:eastAsia="宋体"/>
                <w:kern w:val="0"/>
                <w:sz w:val="24"/>
                <w:lang w:val="en-US" w:eastAsia="zh-CN"/>
              </w:rPr>
            </w:pPr>
            <w:r>
              <w:rPr>
                <w:rFonts w:hint="eastAsia"/>
                <w:kern w:val="0"/>
                <w:sz w:val="24"/>
                <w:lang w:val="en-US" w:eastAsia="zh-CN"/>
              </w:rPr>
              <w:t>50.22</w:t>
            </w:r>
          </w:p>
        </w:tc>
        <w:tc>
          <w:tcPr>
            <w:tcW w:w="782" w:type="dxa"/>
            <w:vAlign w:val="center"/>
          </w:tcPr>
          <w:p>
            <w:pPr>
              <w:widowControl/>
              <w:jc w:val="center"/>
              <w:rPr>
                <w:rFonts w:hint="default" w:eastAsia="宋体"/>
                <w:kern w:val="0"/>
                <w:sz w:val="24"/>
                <w:lang w:val="en-US" w:eastAsia="zh-CN"/>
              </w:rPr>
            </w:pPr>
            <w:r>
              <w:rPr>
                <w:rFonts w:hint="eastAsia"/>
                <w:kern w:val="0"/>
                <w:sz w:val="24"/>
                <w:lang w:val="en-US" w:eastAsia="zh-CN"/>
              </w:rPr>
              <w:t>50.26</w:t>
            </w:r>
          </w:p>
        </w:tc>
        <w:tc>
          <w:tcPr>
            <w:tcW w:w="764" w:type="dxa"/>
            <w:vAlign w:val="center"/>
          </w:tcPr>
          <w:p>
            <w:pPr>
              <w:widowControl/>
              <w:jc w:val="center"/>
              <w:rPr>
                <w:rFonts w:hint="default" w:eastAsia="宋体"/>
                <w:kern w:val="0"/>
                <w:sz w:val="24"/>
                <w:lang w:val="en-US" w:eastAsia="zh-CN"/>
              </w:rPr>
            </w:pPr>
            <w:r>
              <w:rPr>
                <w:rFonts w:hint="eastAsia"/>
                <w:kern w:val="0"/>
                <w:sz w:val="24"/>
                <w:lang w:val="en-US" w:eastAsia="zh-CN"/>
              </w:rPr>
              <w:t>50.26</w:t>
            </w:r>
          </w:p>
        </w:tc>
        <w:tc>
          <w:tcPr>
            <w:tcW w:w="843" w:type="dxa"/>
            <w:vAlign w:val="center"/>
          </w:tcPr>
          <w:p>
            <w:pPr>
              <w:widowControl/>
              <w:jc w:val="center"/>
              <w:rPr>
                <w:rFonts w:hint="default"/>
                <w:kern w:val="0"/>
                <w:sz w:val="24"/>
                <w:lang w:val="en-US"/>
              </w:rPr>
            </w:pPr>
            <w:r>
              <w:rPr>
                <w:rFonts w:hint="eastAsia"/>
                <w:kern w:val="0"/>
                <w:sz w:val="24"/>
                <w:lang w:val="en-US" w:eastAsia="zh-CN"/>
              </w:rPr>
              <w:t>50.26</w:t>
            </w:r>
          </w:p>
        </w:tc>
        <w:tc>
          <w:tcPr>
            <w:tcW w:w="773" w:type="dxa"/>
            <w:vAlign w:val="center"/>
          </w:tcPr>
          <w:p>
            <w:pPr>
              <w:widowControl/>
              <w:jc w:val="center"/>
              <w:rPr>
                <w:rFonts w:hint="default" w:eastAsia="宋体"/>
                <w:kern w:val="0"/>
                <w:sz w:val="24"/>
                <w:lang w:val="en-US" w:eastAsia="zh-CN"/>
              </w:rPr>
            </w:pPr>
            <w:r>
              <w:rPr>
                <w:rFonts w:hint="eastAsia"/>
                <w:kern w:val="0"/>
                <w:sz w:val="24"/>
                <w:lang w:val="en-US" w:eastAsia="zh-CN"/>
              </w:rPr>
              <w:t>50.26</w:t>
            </w:r>
          </w:p>
        </w:tc>
        <w:tc>
          <w:tcPr>
            <w:tcW w:w="829" w:type="dxa"/>
            <w:vAlign w:val="center"/>
          </w:tcPr>
          <w:p>
            <w:pPr>
              <w:widowControl/>
              <w:jc w:val="center"/>
              <w:rPr>
                <w:rFonts w:hint="default" w:eastAsia="宋体"/>
                <w:kern w:val="0"/>
                <w:sz w:val="24"/>
                <w:lang w:val="en-US" w:eastAsia="zh-CN"/>
              </w:rPr>
            </w:pPr>
            <w:r>
              <w:rPr>
                <w:rFonts w:hint="eastAsia"/>
                <w:kern w:val="0"/>
                <w:sz w:val="24"/>
                <w:lang w:val="en-US" w:eastAsia="zh-CN"/>
              </w:rPr>
              <w:t>50.28</w:t>
            </w:r>
          </w:p>
        </w:tc>
        <w:tc>
          <w:tcPr>
            <w:tcW w:w="800" w:type="dxa"/>
            <w:vAlign w:val="center"/>
          </w:tcPr>
          <w:p>
            <w:pPr>
              <w:widowControl/>
              <w:jc w:val="center"/>
              <w:rPr>
                <w:rFonts w:hint="default" w:eastAsia="宋体"/>
                <w:kern w:val="0"/>
                <w:sz w:val="24"/>
                <w:lang w:val="en-US" w:eastAsia="zh-CN"/>
              </w:rPr>
            </w:pPr>
            <w:r>
              <w:rPr>
                <w:rFonts w:hint="eastAsia"/>
                <w:kern w:val="0"/>
                <w:sz w:val="24"/>
                <w:lang w:val="en-US" w:eastAsia="zh-CN"/>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9" w:type="dxa"/>
            <w:vAlign w:val="center"/>
          </w:tcPr>
          <w:p>
            <w:pPr>
              <w:widowControl/>
              <w:adjustRightInd w:val="0"/>
              <w:spacing w:line="360" w:lineRule="auto"/>
              <w:jc w:val="center"/>
              <w:rPr>
                <w:sz w:val="24"/>
              </w:rPr>
            </w:pPr>
            <w:r>
              <w:rPr>
                <w:position w:val="-10"/>
                <w:sz w:val="24"/>
              </w:rPr>
              <w:object>
                <v:shape id="_x0000_i1028" o:spt="75" type="#_x0000_t75" style="height:16.85pt;width:32.2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tc>
        <w:tc>
          <w:tcPr>
            <w:tcW w:w="8018" w:type="dxa"/>
            <w:gridSpan w:val="10"/>
            <w:vAlign w:val="center"/>
          </w:tcPr>
          <w:p>
            <w:pPr>
              <w:widowControl/>
              <w:jc w:val="center"/>
              <w:rPr>
                <w:rFonts w:hint="default" w:eastAsia="宋体"/>
                <w:color w:val="0D0D0D" w:themeColor="text1" w:themeTint="F2"/>
                <w:kern w:val="0"/>
                <w:sz w:val="24"/>
                <w:lang w:val="en-US" w:eastAsia="zh-CN"/>
                <w14:textFill>
                  <w14:solidFill>
                    <w14:schemeClr w14:val="tx1">
                      <w14:lumMod w14:val="95000"/>
                      <w14:lumOff w14:val="5000"/>
                    </w14:schemeClr>
                  </w14:solidFill>
                </w14:textFill>
              </w:rPr>
            </w:pPr>
            <w:r>
              <w:rPr>
                <w:rFonts w:hint="eastAsia"/>
                <w:color w:val="0D0D0D" w:themeColor="text1" w:themeTint="F2"/>
                <w:kern w:val="0"/>
                <w:sz w:val="24"/>
                <w:lang w:val="en-US" w:eastAsia="zh-CN"/>
                <w14:textFill>
                  <w14:solidFill>
                    <w14:schemeClr w14:val="tx1">
                      <w14:lumMod w14:val="95000"/>
                      <w14:lumOff w14:val="5000"/>
                    </w14:schemeClr>
                  </w14:solidFill>
                </w14:textFill>
              </w:rPr>
              <w:t>50.252</w:t>
            </w:r>
          </w:p>
        </w:tc>
      </w:tr>
    </w:tbl>
    <w:p>
      <w:pPr>
        <w:spacing w:line="360" w:lineRule="auto"/>
        <w:ind w:firstLine="720" w:firstLineChars="300"/>
        <w:rPr>
          <w:sz w:val="24"/>
        </w:rPr>
      </w:pPr>
    </w:p>
    <w:p>
      <w:pPr>
        <w:spacing w:line="360" w:lineRule="auto"/>
        <w:ind w:firstLine="720" w:firstLineChars="300"/>
        <w:rPr>
          <w:sz w:val="24"/>
        </w:rPr>
      </w:pPr>
      <w:r>
        <w:rPr>
          <w:sz w:val="24"/>
        </w:rPr>
        <w:t>被测试件测量值的平均值：</w:t>
      </w:r>
      <w:r>
        <w:rPr>
          <w:position w:val="-20"/>
          <w:sz w:val="24"/>
        </w:rPr>
        <w:object>
          <v:shape id="_x0000_i1029" o:spt="75" type="#_x0000_t75" style="height:34.15pt;width:114.95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p>
    <w:p>
      <w:pPr>
        <w:widowControl/>
        <w:tabs>
          <w:tab w:val="center" w:pos="4360"/>
          <w:tab w:val="right" w:pos="8300"/>
        </w:tabs>
        <w:spacing w:line="360" w:lineRule="auto"/>
        <w:ind w:firstLine="720" w:firstLineChars="300"/>
        <w:rPr>
          <w:kern w:val="0"/>
          <w:sz w:val="24"/>
        </w:rPr>
      </w:pPr>
      <w:r>
        <w:rPr>
          <w:color w:val="000000" w:themeColor="text1"/>
          <w:kern w:val="0"/>
          <w:sz w:val="24"/>
          <w14:textFill>
            <w14:solidFill>
              <w14:schemeClr w14:val="tx1"/>
            </w14:solidFill>
          </w14:textFill>
        </w:rPr>
        <w:t>单个测量值的实验标准差</w:t>
      </w:r>
      <w:r>
        <w:rPr>
          <w:kern w:val="0"/>
          <w:sz w:val="24"/>
        </w:rPr>
        <w:t>：</w:t>
      </w:r>
      <w:r>
        <w:rPr>
          <w:kern w:val="0"/>
          <w:position w:val="-22"/>
          <w:sz w:val="24"/>
        </w:rPr>
        <w:object>
          <v:shape id="_x0000_i1030" o:spt="75" type="#_x0000_t75" style="height:41.05pt;width:160.35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widowControl/>
        <w:tabs>
          <w:tab w:val="center" w:pos="4360"/>
          <w:tab w:val="right" w:pos="8300"/>
        </w:tabs>
        <w:spacing w:line="360" w:lineRule="auto"/>
        <w:ind w:left="420" w:firstLine="36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被测量估计值（</w:t>
      </w:r>
      <m:oMath>
        <m:acc>
          <m:accPr>
            <m:chr m:val="̅"/>
            <m:ctrlPr>
              <w:rPr>
                <w:rFonts w:ascii="Cambria Math" w:hAnsi="Cambria Math"/>
                <w:i/>
                <w:color w:val="000000" w:themeColor="text1"/>
                <w:kern w:val="0"/>
                <w:sz w:val="24"/>
                <w14:textFill>
                  <w14:solidFill>
                    <w14:schemeClr w14:val="tx1"/>
                  </w14:solidFill>
                </w14:textFill>
              </w:rPr>
            </m:ctrlPr>
          </m:accPr>
          <m:e>
            <m:r>
              <m:rPr/>
              <w:rPr>
                <w:rFonts w:hint="default" w:ascii="Cambria Math" w:hAnsi="Cambria Math"/>
                <w:color w:val="000000" w:themeColor="text1"/>
                <w:kern w:val="0"/>
                <w:sz w:val="24"/>
                <w:lang w:val="en-US" w:eastAsia="zh-CN"/>
                <w14:textFill>
                  <w14:solidFill>
                    <w14:schemeClr w14:val="tx1"/>
                  </w14:solidFill>
                </w14:textFill>
              </w:rPr>
              <m:t>L</m:t>
            </m:r>
            <m:ctrlPr>
              <w:rPr>
                <w:rFonts w:ascii="Cambria Math" w:hAnsi="Cambria Math"/>
                <w:i/>
                <w:color w:val="000000" w:themeColor="text1"/>
                <w:kern w:val="0"/>
                <w:sz w:val="24"/>
                <w14:textFill>
                  <w14:solidFill>
                    <w14:schemeClr w14:val="tx1"/>
                  </w14:solidFill>
                </w14:textFill>
              </w:rPr>
            </m:ctrlPr>
          </m:e>
        </m:acc>
      </m:oMath>
      <w:r>
        <w:rPr>
          <w:color w:val="000000" w:themeColor="text1"/>
          <w:kern w:val="0"/>
          <w:sz w:val="24"/>
          <w14:textFill>
            <w14:solidFill>
              <w14:schemeClr w14:val="tx1"/>
            </w14:solidFill>
          </w14:textFill>
        </w:rPr>
        <w:t>）标准不确定度分量</w:t>
      </w:r>
      <w:r>
        <w:rPr>
          <w:i/>
          <w:iCs/>
          <w:color w:val="000000" w:themeColor="text1"/>
          <w:sz w:val="24"/>
          <w14:textFill>
            <w14:solidFill>
              <w14:schemeClr w14:val="tx1"/>
            </w14:solidFill>
          </w14:textFill>
        </w:rPr>
        <w:t>u</w:t>
      </w:r>
      <w:r>
        <w:rPr>
          <w:color w:val="000000" w:themeColor="text1"/>
          <w:sz w:val="24"/>
          <w:vertAlign w:val="subscript"/>
          <w14:textFill>
            <w14:solidFill>
              <w14:schemeClr w14:val="tx1"/>
            </w14:solidFill>
          </w14:textFill>
        </w:rPr>
        <w:t>1</w:t>
      </w:r>
      <w:r>
        <w:rPr>
          <w:color w:val="000000" w:themeColor="text1"/>
          <w:kern w:val="0"/>
          <w:sz w:val="24"/>
          <w14:textFill>
            <w14:solidFill>
              <w14:schemeClr w14:val="tx1"/>
            </w14:solidFill>
          </w14:textFill>
        </w:rPr>
        <w:t>：</w:t>
      </w:r>
      <w:bookmarkStart w:id="0" w:name="_Hlk36298355"/>
      <w:r>
        <w:rPr>
          <w:color w:val="000000" w:themeColor="text1"/>
          <w:kern w:val="0"/>
          <w:sz w:val="24"/>
          <w14:textFill>
            <w14:solidFill>
              <w14:schemeClr w14:val="tx1"/>
            </w14:solidFill>
          </w14:textFill>
        </w:rPr>
        <w:t>（</w:t>
      </w:r>
      <m:oMath>
        <m:acc>
          <m:accPr>
            <m:chr m:val="̅"/>
            <m:ctrlPr>
              <w:rPr>
                <w:rFonts w:ascii="Cambria Math" w:hAnsi="Cambria Math"/>
                <w:i/>
                <w:color w:val="000000" w:themeColor="text1"/>
                <w:kern w:val="0"/>
                <w:sz w:val="24"/>
                <w14:textFill>
                  <w14:solidFill>
                    <w14:schemeClr w14:val="tx1"/>
                  </w14:solidFill>
                </w14:textFill>
              </w:rPr>
            </m:ctrlPr>
          </m:accPr>
          <m:e>
            <m:r>
              <m:rPr/>
              <w:rPr>
                <w:rFonts w:hint="default" w:ascii="Cambria Math" w:hAnsi="Cambria Math"/>
                <w:color w:val="000000" w:themeColor="text1"/>
                <w:kern w:val="0"/>
                <w:sz w:val="24"/>
                <w:lang w:val="en-US" w:eastAsia="zh-CN"/>
                <w14:textFill>
                  <w14:solidFill>
                    <w14:schemeClr w14:val="tx1"/>
                  </w14:solidFill>
                </w14:textFill>
              </w:rPr>
              <m:t>L</m:t>
            </m:r>
            <m:ctrlPr>
              <w:rPr>
                <w:rFonts w:ascii="Cambria Math" w:hAnsi="Cambria Math"/>
                <w:i/>
                <w:color w:val="000000" w:themeColor="text1"/>
                <w:kern w:val="0"/>
                <w:sz w:val="24"/>
                <w14:textFill>
                  <w14:solidFill>
                    <w14:schemeClr w14:val="tx1"/>
                  </w14:solidFill>
                </w14:textFill>
              </w:rPr>
            </m:ctrlPr>
          </m:e>
        </m:acc>
      </m:oMath>
      <w:r>
        <w:rPr>
          <w:color w:val="000000" w:themeColor="text1"/>
          <w:kern w:val="0"/>
          <w:sz w:val="24"/>
          <w14:textFill>
            <w14:solidFill>
              <w14:schemeClr w14:val="tx1"/>
            </w14:solidFill>
          </w14:textFill>
        </w:rPr>
        <w:t>为1组数据的平均值，取n=1）</w:t>
      </w:r>
    </w:p>
    <w:bookmarkEnd w:id="0"/>
    <w:p>
      <w:pPr>
        <w:widowControl/>
        <w:tabs>
          <w:tab w:val="center" w:pos="4360"/>
          <w:tab w:val="right" w:pos="8300"/>
        </w:tabs>
        <w:spacing w:line="360" w:lineRule="auto"/>
        <w:ind w:left="420" w:firstLine="360"/>
        <w:rPr>
          <w:color w:val="0D0D0D" w:themeColor="text1" w:themeTint="F2"/>
          <w:sz w:val="24"/>
          <w14:textFill>
            <w14:solidFill>
              <w14:schemeClr w14:val="tx1">
                <w14:lumMod w14:val="95000"/>
                <w14:lumOff w14:val="5000"/>
              </w14:schemeClr>
            </w14:solidFill>
          </w14:textFill>
        </w:rPr>
      </w:pPr>
      <w:r>
        <w:rPr>
          <w:kern w:val="0"/>
          <w:sz w:val="24"/>
        </w:rPr>
        <w:t>标准不确定度分量：</w:t>
      </w:r>
      <w:r>
        <w:rPr>
          <w:color w:val="0D0D0D" w:themeColor="text1" w:themeTint="F2"/>
          <w:kern w:val="0"/>
          <w:sz w:val="24"/>
          <w14:textFill>
            <w14:solidFill>
              <w14:schemeClr w14:val="tx1">
                <w14:lumMod w14:val="95000"/>
                <w14:lumOff w14:val="5000"/>
              </w14:schemeClr>
            </w14:solidFill>
          </w14:textFill>
        </w:rPr>
        <w:t xml:space="preserve"> </w:t>
      </w:r>
      <w:r>
        <w:rPr>
          <w:color w:val="0D0D0D" w:themeColor="text1" w:themeTint="F2"/>
          <w:kern w:val="0"/>
          <w:position w:val="-10"/>
          <w:sz w:val="24"/>
          <w14:textFill>
            <w14:solidFill>
              <w14:schemeClr w14:val="tx1">
                <w14:lumMod w14:val="95000"/>
                <w14:lumOff w14:val="5000"/>
              </w14:schemeClr>
            </w14:solidFill>
          </w14:textFill>
        </w:rPr>
        <w:object>
          <v:shape id="_x0000_i1031" o:spt="75" type="#_x0000_t75" style="height:16.75pt;width:11.85pt;" o:ole="t" filled="f" o:preferrelative="t" stroked="f" coordsize="21600,21600">
            <v:path/>
            <v:fill on="f" focussize="0,0"/>
            <v:stroke on="f" joinstyle="miter"/>
            <v:imagedata r:id="rId18" o:title=""/>
            <o:lock v:ext="edit" aspectratio="t"/>
            <w10:wrap type="none"/>
            <w10:anchorlock/>
          </v:shape>
          <o:OLEObject Type="Embed" ProgID="Equation.KSEE3" ShapeID="_x0000_i1031" DrawAspect="Content" ObjectID="_1468075731" r:id="rId17">
            <o:LockedField>false</o:LockedField>
          </o:OLEObject>
        </w:object>
      </w:r>
      <w:r>
        <w:rPr>
          <w:color w:val="0D0D0D" w:themeColor="text1" w:themeTint="F2"/>
          <w:kern w:val="0"/>
          <w:sz w:val="24"/>
          <w14:textFill>
            <w14:solidFill>
              <w14:schemeClr w14:val="tx1">
                <w14:lumMod w14:val="95000"/>
                <w14:lumOff w14:val="5000"/>
              </w14:schemeClr>
            </w14:solidFill>
          </w14:textFill>
        </w:rPr>
        <w:t>=S=0.</w:t>
      </w:r>
      <w:r>
        <w:rPr>
          <w:rFonts w:hint="eastAsia"/>
          <w:color w:val="0D0D0D" w:themeColor="text1" w:themeTint="F2"/>
          <w:kern w:val="0"/>
          <w:sz w:val="24"/>
          <w:lang w:val="en-US" w:eastAsia="zh-CN"/>
          <w14:textFill>
            <w14:solidFill>
              <w14:schemeClr w14:val="tx1">
                <w14:lumMod w14:val="95000"/>
                <w14:lumOff w14:val="5000"/>
              </w14:schemeClr>
            </w14:solidFill>
          </w14:textFill>
        </w:rPr>
        <w:t>023</w:t>
      </w:r>
      <w:r>
        <w:rPr>
          <w:color w:val="0D0D0D" w:themeColor="text1" w:themeTint="F2"/>
          <w:kern w:val="0"/>
          <w:sz w:val="24"/>
          <w14:textFill>
            <w14:solidFill>
              <w14:schemeClr w14:val="tx1">
                <w14:lumMod w14:val="95000"/>
                <w14:lumOff w14:val="5000"/>
              </w14:schemeClr>
            </w14:solidFill>
          </w14:textFill>
        </w:rPr>
        <w:t>mm</w:t>
      </w:r>
      <w:r>
        <w:rPr>
          <w:sz w:val="24"/>
        </w:rPr>
        <w:t xml:space="preserve">                                 </w:t>
      </w:r>
    </w:p>
    <w:p>
      <w:pPr>
        <w:widowControl/>
        <w:tabs>
          <w:tab w:val="center" w:pos="4360"/>
          <w:tab w:val="right" w:pos="8300"/>
        </w:tabs>
        <w:spacing w:line="360" w:lineRule="auto"/>
        <w:rPr>
          <w:kern w:val="0"/>
          <w:sz w:val="24"/>
          <w:vertAlign w:val="subscript"/>
        </w:rPr>
      </w:pPr>
      <w:r>
        <w:rPr>
          <w:kern w:val="0"/>
          <w:sz w:val="24"/>
        </w:rPr>
        <w:t>3.2、</w:t>
      </w:r>
      <w:r>
        <w:rPr>
          <w:sz w:val="24"/>
        </w:rPr>
        <w:t>测量设备示值误差引入的</w:t>
      </w:r>
      <w:r>
        <w:rPr>
          <w:kern w:val="0"/>
          <w:sz w:val="24"/>
        </w:rPr>
        <w:t>不确定度影响分量</w:t>
      </w:r>
      <w:r>
        <w:rPr>
          <w:kern w:val="0"/>
          <w:position w:val="-10"/>
          <w:sz w:val="24"/>
        </w:rPr>
        <w:object>
          <v:shape id="_x0000_i1032" o:spt="75" type="#_x0000_t75" style="height:16.75pt;width:12.8pt;" o:ole="t" filled="f" o:preferrelative="t" stroked="f" coordsize="21600,21600">
            <v:path/>
            <v:fill on="f" focussize="0,0"/>
            <v:stroke on="f" joinstyle="miter"/>
            <v:imagedata r:id="rId20" o:title=""/>
            <o:lock v:ext="edit" aspectratio="t"/>
            <w10:wrap type="none"/>
            <w10:anchorlock/>
          </v:shape>
          <o:OLEObject Type="Embed" ProgID="Equation.KSEE3" ShapeID="_x0000_i1032" DrawAspect="Content" ObjectID="_1468075732" r:id="rId19">
            <o:LockedField>false</o:LockedField>
          </o:OLEObject>
        </w:object>
      </w:r>
    </w:p>
    <w:p>
      <w:pPr>
        <w:spacing w:line="360" w:lineRule="auto"/>
        <w:ind w:firstLine="480" w:firstLineChars="200"/>
        <w:rPr>
          <w:sz w:val="24"/>
        </w:rPr>
      </w:pPr>
      <w:r>
        <w:rPr>
          <w:rFonts w:hint="eastAsia"/>
          <w:sz w:val="24"/>
          <w:lang w:val="en-US" w:eastAsia="zh-CN"/>
        </w:rPr>
        <w:t>游标</w:t>
      </w:r>
      <w:r>
        <w:rPr>
          <w:sz w:val="24"/>
        </w:rPr>
        <w:t>卡尺的</w:t>
      </w:r>
      <w:r>
        <w:rPr>
          <w:rFonts w:hint="eastAsia"/>
          <w:sz w:val="24"/>
          <w:lang w:val="en-US" w:eastAsia="zh-CN"/>
        </w:rPr>
        <w:t>最大允许</w:t>
      </w:r>
      <w:r>
        <w:rPr>
          <w:sz w:val="24"/>
        </w:rPr>
        <w:t>误差为±0.0</w:t>
      </w:r>
      <w:r>
        <w:rPr>
          <w:rFonts w:hint="eastAsia"/>
          <w:sz w:val="24"/>
          <w:lang w:val="en-US" w:eastAsia="zh-CN"/>
        </w:rPr>
        <w:t>4</w:t>
      </w:r>
      <w:r>
        <w:rPr>
          <w:sz w:val="24"/>
        </w:rPr>
        <w:t>mm，服从均匀分布，</w:t>
      </w:r>
      <w:r>
        <w:rPr>
          <w:rFonts w:hint="eastAsia"/>
          <w:sz w:val="24"/>
          <w:lang w:val="en-US" w:eastAsia="zh-CN"/>
        </w:rPr>
        <w:t>半宽a=0.04mm,</w:t>
      </w:r>
      <w:r>
        <w:rPr>
          <w:sz w:val="24"/>
        </w:rPr>
        <w:t>取</w:t>
      </w:r>
      <w:r>
        <w:rPr>
          <w:rFonts w:hint="eastAsia"/>
          <w:sz w:val="24"/>
          <w:lang w:val="en-US" w:eastAsia="zh-CN"/>
        </w:rPr>
        <w:t>k</w:t>
      </w:r>
      <w:r>
        <w:rPr>
          <w:sz w:val="24"/>
        </w:rPr>
        <w:t>=</w:t>
      </w:r>
      <m:oMath>
        <m:rad>
          <m:radPr>
            <m:degHide m:val="1"/>
            <m:ctrlPr>
              <w:rPr>
                <w:rFonts w:ascii="Cambria Math" w:hAnsi="Cambria Math"/>
                <w:sz w:val="24"/>
              </w:rPr>
            </m:ctrlPr>
          </m:radPr>
          <m:deg>
            <m:ctrlPr>
              <w:rPr>
                <w:rFonts w:ascii="Cambria Math" w:hAnsi="Cambria Math"/>
                <w:sz w:val="24"/>
              </w:rPr>
            </m:ctrlPr>
          </m:deg>
          <m:e>
            <m:r>
              <m:rPr/>
              <w:rPr>
                <w:rFonts w:ascii="Cambria Math" w:hAnsi="Cambria Math"/>
                <w:sz w:val="24"/>
              </w:rPr>
              <m:t>3</m:t>
            </m:r>
            <m:ctrlPr>
              <w:rPr>
                <w:rFonts w:ascii="Cambria Math" w:hAnsi="Cambria Math"/>
                <w:sz w:val="24"/>
              </w:rPr>
            </m:ctrlPr>
          </m:e>
        </m:rad>
      </m:oMath>
      <w:r>
        <w:rPr>
          <w:sz w:val="24"/>
        </w:rPr>
        <w:t>，则由设备示值误差引入的不确定分量为：</w:t>
      </w:r>
    </w:p>
    <w:p>
      <w:pPr>
        <w:spacing w:line="360" w:lineRule="auto"/>
        <w:ind w:firstLine="1680" w:firstLineChars="700"/>
        <w:rPr>
          <w:i/>
          <w:position w:val="-24"/>
          <w:sz w:val="24"/>
        </w:rPr>
      </w:pPr>
      <w:r>
        <w:rPr>
          <w:i/>
          <w:position w:val="-30"/>
          <w:sz w:val="24"/>
        </w:rPr>
        <w:object>
          <v:shape id="_x0000_i1033" o:spt="75" type="#_x0000_t75" style="height:33pt;width:156.15pt;" o:ole="t" filled="f" o:preferrelative="t" stroked="f" coordsize="21600,21600">
            <v:path/>
            <v:fill on="f" focussize="0,0"/>
            <v:stroke on="f"/>
            <v:imagedata r:id="rId22" o:title=""/>
            <o:lock v:ext="edit" aspectratio="t"/>
            <w10:wrap type="none"/>
            <w10:anchorlock/>
          </v:shape>
          <o:OLEObject Type="Embed" ProgID="Equation.KSEE3" ShapeID="_x0000_i1033" DrawAspect="Content" ObjectID="_1468075733" r:id="rId21">
            <o:LockedField>false</o:LockedField>
          </o:OLEObject>
        </w:object>
      </w:r>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sz w:val="24"/>
              </w:rPr>
            </w:pPr>
            <w:r>
              <w:rPr>
                <w:sz w:val="24"/>
              </w:rPr>
              <w:t>标准不确定度分量</w:t>
            </w:r>
          </w:p>
        </w:tc>
        <w:tc>
          <w:tcPr>
            <w:tcW w:w="4275" w:type="dxa"/>
            <w:vAlign w:val="center"/>
          </w:tcPr>
          <w:p>
            <w:pPr>
              <w:widowControl/>
              <w:adjustRightInd w:val="0"/>
              <w:spacing w:line="360" w:lineRule="auto"/>
              <w:jc w:val="center"/>
              <w:rPr>
                <w:sz w:val="24"/>
              </w:rPr>
            </w:pPr>
            <w:r>
              <w:rPr>
                <w:sz w:val="24"/>
              </w:rPr>
              <w:t>不确定度来源</w:t>
            </w:r>
          </w:p>
        </w:tc>
        <w:tc>
          <w:tcPr>
            <w:tcW w:w="2246" w:type="dxa"/>
            <w:vAlign w:val="center"/>
          </w:tcPr>
          <w:p>
            <w:pPr>
              <w:widowControl/>
              <w:adjustRightInd w:val="0"/>
              <w:spacing w:line="360" w:lineRule="auto"/>
              <w:jc w:val="center"/>
              <w:rPr>
                <w:sz w:val="24"/>
              </w:rPr>
            </w:pPr>
            <w:r>
              <w:rPr>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w:t>
            </w:r>
            <w:r>
              <w:rPr>
                <w:i/>
                <w:iCs/>
                <w:sz w:val="24"/>
              </w:rPr>
              <w:t>u</w:t>
            </w:r>
            <w:r>
              <w:rPr>
                <w:sz w:val="24"/>
                <w:vertAlign w:val="subscript"/>
              </w:rPr>
              <w:t>1</w:t>
            </w:r>
          </w:p>
        </w:tc>
        <w:tc>
          <w:tcPr>
            <w:tcW w:w="4275" w:type="dxa"/>
          </w:tcPr>
          <w:p>
            <w:pPr>
              <w:widowControl/>
              <w:adjustRightInd w:val="0"/>
              <w:spacing w:line="360" w:lineRule="auto"/>
              <w:jc w:val="center"/>
              <w:rPr>
                <w:sz w:val="24"/>
              </w:rPr>
            </w:pPr>
            <w:r>
              <w:rPr>
                <w:sz w:val="24"/>
              </w:rPr>
              <w:t>测量重复性所引入的不确定度</w:t>
            </w:r>
          </w:p>
        </w:tc>
        <w:tc>
          <w:tcPr>
            <w:tcW w:w="2246" w:type="dxa"/>
            <w:vAlign w:val="center"/>
          </w:tcPr>
          <w:p>
            <w:pPr>
              <w:widowControl/>
              <w:adjustRightInd w:val="0"/>
              <w:spacing w:line="360" w:lineRule="auto"/>
              <w:jc w:val="center"/>
              <w:rPr>
                <w:sz w:val="24"/>
              </w:rPr>
            </w:pPr>
            <w:r>
              <w:rPr>
                <w:sz w:val="24"/>
              </w:rPr>
              <w:t>0.</w:t>
            </w:r>
            <w:r>
              <w:rPr>
                <w:rFonts w:hint="eastAsia"/>
                <w:sz w:val="24"/>
                <w:lang w:val="en-US" w:eastAsia="zh-CN"/>
              </w:rPr>
              <w:t>023</w:t>
            </w:r>
            <w:r>
              <w:rPr>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w:t>
            </w:r>
            <w:r>
              <w:rPr>
                <w:i/>
                <w:iCs/>
                <w:sz w:val="24"/>
              </w:rPr>
              <w:t>u</w:t>
            </w:r>
            <w:r>
              <w:rPr>
                <w:sz w:val="24"/>
                <w:vertAlign w:val="subscript"/>
              </w:rPr>
              <w:t>2</w:t>
            </w:r>
          </w:p>
        </w:tc>
        <w:tc>
          <w:tcPr>
            <w:tcW w:w="4275" w:type="dxa"/>
          </w:tcPr>
          <w:p>
            <w:pPr>
              <w:widowControl/>
              <w:adjustRightInd w:val="0"/>
              <w:spacing w:line="360" w:lineRule="auto"/>
              <w:jc w:val="center"/>
              <w:rPr>
                <w:sz w:val="24"/>
              </w:rPr>
            </w:pPr>
            <w:r>
              <w:rPr>
                <w:sz w:val="24"/>
              </w:rPr>
              <w:t>测量设备引入的不确定度</w:t>
            </w:r>
          </w:p>
        </w:tc>
        <w:tc>
          <w:tcPr>
            <w:tcW w:w="2246" w:type="dxa"/>
            <w:vAlign w:val="center"/>
          </w:tcPr>
          <w:p>
            <w:pPr>
              <w:widowControl/>
              <w:tabs>
                <w:tab w:val="center" w:pos="4612"/>
              </w:tabs>
              <w:adjustRightInd w:val="0"/>
              <w:spacing w:line="360" w:lineRule="auto"/>
              <w:jc w:val="center"/>
              <w:rPr>
                <w:sz w:val="24"/>
              </w:rPr>
            </w:pPr>
            <w:r>
              <w:rPr>
                <w:sz w:val="24"/>
              </w:rPr>
              <w:t>0.0</w:t>
            </w:r>
            <w:r>
              <w:rPr>
                <w:rFonts w:hint="eastAsia"/>
                <w:sz w:val="24"/>
                <w:lang w:val="en-US" w:eastAsia="zh-CN"/>
              </w:rPr>
              <w:t>23</w:t>
            </w:r>
            <w:r>
              <w:rPr>
                <w:sz w:val="24"/>
              </w:rPr>
              <w:t>mm</w:t>
            </w:r>
          </w:p>
        </w:tc>
      </w:tr>
    </w:tbl>
    <w:p>
      <w:pPr>
        <w:spacing w:line="360" w:lineRule="auto"/>
        <w:rPr>
          <w:sz w:val="24"/>
        </w:rPr>
      </w:pPr>
      <w:r>
        <w:rPr>
          <w:sz w:val="24"/>
        </w:rPr>
        <w:t>4.2合成标准不确定度的计算</w:t>
      </w:r>
    </w:p>
    <w:p>
      <w:pPr>
        <w:spacing w:line="360" w:lineRule="auto"/>
        <w:ind w:firstLine="480" w:firstLineChars="200"/>
        <w:rPr>
          <w:sz w:val="24"/>
        </w:rPr>
      </w:pPr>
      <w:r>
        <w:rPr>
          <w:sz w:val="24"/>
        </w:rPr>
        <w:t>合成标准不确定度可按下式得到：</w:t>
      </w:r>
    </w:p>
    <w:p>
      <w:pPr>
        <w:spacing w:line="360" w:lineRule="auto"/>
        <w:ind w:firstLine="480" w:firstLineChars="200"/>
        <w:rPr>
          <w:b/>
          <w:bCs/>
          <w:sz w:val="24"/>
        </w:rPr>
      </w:pPr>
      <w:r>
        <w:rPr>
          <w:position w:val="-16"/>
          <w:sz w:val="24"/>
          <w:vertAlign w:val="subscript"/>
        </w:rPr>
        <w:object>
          <v:shape id="_x0000_i1034" o:spt="75" type="#_x0000_t75" style="height:23.7pt;width:194.15pt;" o:ole="t" filled="f" o:preferrelative="t" stroked="f" coordsize="21600,21600">
            <v:path/>
            <v:fill on="f" focussize="0,0"/>
            <v:stroke on="f"/>
            <v:imagedata r:id="rId24" o:title=""/>
            <o:lock v:ext="edit" aspectratio="t"/>
            <w10:wrap type="none"/>
            <w10:anchorlock/>
          </v:shape>
          <o:OLEObject Type="Embed" ProgID="Equation.KSEE3" ShapeID="_x0000_i1034" DrawAspect="Content" ObjectID="_1468075734" r:id="rId23">
            <o:LockedField>false</o:LockedField>
          </o:OLEObject>
        </w:object>
      </w:r>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2,置信概率 95％</w:t>
      </w:r>
      <w:r>
        <w:rPr>
          <w:i/>
          <w:sz w:val="24"/>
        </w:rPr>
        <w:t xml:space="preserve">,  </w:t>
      </w:r>
      <w:r>
        <w:rPr>
          <w:sz w:val="24"/>
        </w:rPr>
        <w:t>得</w:t>
      </w:r>
    </w:p>
    <w:p>
      <w:pPr>
        <w:spacing w:line="360" w:lineRule="auto"/>
        <w:ind w:left="780" w:firstLine="780" w:firstLineChars="325"/>
        <w:rPr>
          <w:sz w:val="24"/>
        </w:rPr>
      </w:pPr>
      <w:r>
        <w:rPr>
          <w:sz w:val="24"/>
        </w:rPr>
        <w:t xml:space="preserve"> </w:t>
      </w:r>
      <w:r>
        <w:rPr>
          <w:i/>
          <w:sz w:val="24"/>
        </w:rPr>
        <w:t>U＝</w:t>
      </w:r>
      <w:r>
        <w:rPr>
          <w:sz w:val="24"/>
        </w:rPr>
        <w:t xml:space="preserve"> </w:t>
      </w:r>
      <w:r>
        <w:rPr>
          <w:i/>
          <w:kern w:val="0"/>
          <w:sz w:val="24"/>
        </w:rPr>
        <w:t>k</w:t>
      </w:r>
      <w:r>
        <w:rPr>
          <w:i/>
          <w:iCs/>
          <w:sz w:val="24"/>
        </w:rPr>
        <w:t>u</w:t>
      </w:r>
      <w:r>
        <w:rPr>
          <w:sz w:val="24"/>
          <w:vertAlign w:val="subscript"/>
        </w:rPr>
        <w:t>c</w:t>
      </w:r>
      <w:r>
        <w:rPr>
          <w:sz w:val="24"/>
        </w:rPr>
        <w:t>＝2×0.</w:t>
      </w:r>
      <w:r>
        <w:rPr>
          <w:rFonts w:hint="eastAsia"/>
          <w:sz w:val="24"/>
          <w:lang w:val="en-US" w:eastAsia="zh-CN"/>
        </w:rPr>
        <w:t>03</w:t>
      </w:r>
      <w:r>
        <w:rPr>
          <w:sz w:val="24"/>
        </w:rPr>
        <w:t>mm＝0.</w:t>
      </w:r>
      <w:r>
        <w:rPr>
          <w:rFonts w:hint="eastAsia"/>
          <w:sz w:val="24"/>
          <w:lang w:val="en-US" w:eastAsia="zh-CN"/>
        </w:rPr>
        <w:t>06</w:t>
      </w:r>
      <w:r>
        <w:rPr>
          <w:sz w:val="24"/>
        </w:rPr>
        <w:t>mm</w:t>
      </w:r>
    </w:p>
    <w:p>
      <w:pPr>
        <w:spacing w:line="360" w:lineRule="auto"/>
        <w:rPr>
          <w:sz w:val="24"/>
        </w:rPr>
      </w:pPr>
      <w:r>
        <w:rPr>
          <w:b/>
          <w:bCs/>
          <w:sz w:val="24"/>
        </w:rPr>
        <w:t xml:space="preserve">6、测量不确定度的报告与表示   </w:t>
      </w:r>
      <w:r>
        <w:rPr>
          <w:sz w:val="24"/>
        </w:rPr>
        <w:t xml:space="preserve">  </w:t>
      </w:r>
    </w:p>
    <w:p>
      <w:pPr>
        <w:spacing w:line="360" w:lineRule="auto"/>
        <w:ind w:left="780" w:firstLine="919" w:firstLineChars="383"/>
        <w:rPr>
          <w:rFonts w:hint="default"/>
        </w:rPr>
      </w:pPr>
      <w:r>
        <w:rPr>
          <w:i/>
          <w:sz w:val="24"/>
        </w:rPr>
        <w:t>U＝</w:t>
      </w:r>
      <w:r>
        <w:rPr>
          <w:sz w:val="24"/>
        </w:rPr>
        <w:t>0.</w:t>
      </w:r>
      <w:r>
        <w:rPr>
          <w:rFonts w:hint="eastAsia"/>
          <w:sz w:val="24"/>
          <w:lang w:val="en-US" w:eastAsia="zh-CN"/>
        </w:rPr>
        <w:t>06</w:t>
      </w:r>
      <w:r>
        <w:rPr>
          <w:sz w:val="24"/>
        </w:rPr>
        <w:t xml:space="preserve">mm  </w:t>
      </w:r>
      <w:r>
        <w:rPr>
          <w:i/>
          <w:kern w:val="0"/>
          <w:sz w:val="24"/>
        </w:rPr>
        <w:t>k</w:t>
      </w:r>
      <w:r>
        <w:rPr>
          <w:i/>
          <w:iCs/>
          <w:kern w:val="0"/>
          <w:sz w:val="24"/>
        </w:rPr>
        <w:t xml:space="preserve"> </w:t>
      </w:r>
      <w:r>
        <w:rPr>
          <w:kern w:val="0"/>
          <w:sz w:val="24"/>
        </w:rPr>
        <w:t>= 2</w:t>
      </w:r>
    </w:p>
    <w:sectPr>
      <w:footerReference r:id="rId3" w:type="default"/>
      <w:pgSz w:w="11906" w:h="16838"/>
      <w:pgMar w:top="1440" w:right="1841"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36AC5"/>
    <w:rsid w:val="00067EB5"/>
    <w:rsid w:val="000D5B0F"/>
    <w:rsid w:val="000F5927"/>
    <w:rsid w:val="00194D5A"/>
    <w:rsid w:val="001B03E0"/>
    <w:rsid w:val="001B0550"/>
    <w:rsid w:val="00202874"/>
    <w:rsid w:val="00227CDF"/>
    <w:rsid w:val="00266B2A"/>
    <w:rsid w:val="002B0F65"/>
    <w:rsid w:val="002F2E08"/>
    <w:rsid w:val="0031005A"/>
    <w:rsid w:val="00310C79"/>
    <w:rsid w:val="003869A8"/>
    <w:rsid w:val="003F6438"/>
    <w:rsid w:val="0047357A"/>
    <w:rsid w:val="00477F42"/>
    <w:rsid w:val="00486E22"/>
    <w:rsid w:val="00537DF8"/>
    <w:rsid w:val="00546929"/>
    <w:rsid w:val="0055550A"/>
    <w:rsid w:val="00581C90"/>
    <w:rsid w:val="005A154F"/>
    <w:rsid w:val="005A7359"/>
    <w:rsid w:val="006640CF"/>
    <w:rsid w:val="006E25D7"/>
    <w:rsid w:val="00702D38"/>
    <w:rsid w:val="00767C33"/>
    <w:rsid w:val="007A54BF"/>
    <w:rsid w:val="007F06F6"/>
    <w:rsid w:val="00851D4D"/>
    <w:rsid w:val="009101CE"/>
    <w:rsid w:val="00A16F29"/>
    <w:rsid w:val="00A27A88"/>
    <w:rsid w:val="00B45D3B"/>
    <w:rsid w:val="00B72BDD"/>
    <w:rsid w:val="00BB5BA9"/>
    <w:rsid w:val="00C65C43"/>
    <w:rsid w:val="00CC3654"/>
    <w:rsid w:val="00D05652"/>
    <w:rsid w:val="00D24F36"/>
    <w:rsid w:val="00D60E80"/>
    <w:rsid w:val="00D948D4"/>
    <w:rsid w:val="00E264E2"/>
    <w:rsid w:val="00EC6217"/>
    <w:rsid w:val="00F20F45"/>
    <w:rsid w:val="00F433F8"/>
    <w:rsid w:val="00F45BE3"/>
    <w:rsid w:val="00F50C2B"/>
    <w:rsid w:val="00F51CCD"/>
    <w:rsid w:val="00F55B64"/>
    <w:rsid w:val="00F71631"/>
    <w:rsid w:val="00F9582A"/>
    <w:rsid w:val="01131F5C"/>
    <w:rsid w:val="01A572D6"/>
    <w:rsid w:val="01E8114D"/>
    <w:rsid w:val="029D4DA9"/>
    <w:rsid w:val="039E0C08"/>
    <w:rsid w:val="03B642E8"/>
    <w:rsid w:val="04075530"/>
    <w:rsid w:val="0436565A"/>
    <w:rsid w:val="04444815"/>
    <w:rsid w:val="048E78B7"/>
    <w:rsid w:val="04EB3566"/>
    <w:rsid w:val="052D5D16"/>
    <w:rsid w:val="05834B33"/>
    <w:rsid w:val="059C21AC"/>
    <w:rsid w:val="05CC1598"/>
    <w:rsid w:val="05D917CE"/>
    <w:rsid w:val="05EC47C9"/>
    <w:rsid w:val="062619D7"/>
    <w:rsid w:val="063C65F3"/>
    <w:rsid w:val="06BB37DA"/>
    <w:rsid w:val="06C201D1"/>
    <w:rsid w:val="06F801BF"/>
    <w:rsid w:val="071D00B2"/>
    <w:rsid w:val="07292494"/>
    <w:rsid w:val="074160CB"/>
    <w:rsid w:val="07640BC6"/>
    <w:rsid w:val="07736171"/>
    <w:rsid w:val="07A00CE5"/>
    <w:rsid w:val="07A829E9"/>
    <w:rsid w:val="07B775B2"/>
    <w:rsid w:val="07D84327"/>
    <w:rsid w:val="07F70615"/>
    <w:rsid w:val="08685BC2"/>
    <w:rsid w:val="08CD2142"/>
    <w:rsid w:val="08E14D36"/>
    <w:rsid w:val="09600ABA"/>
    <w:rsid w:val="09B41A99"/>
    <w:rsid w:val="09BE7075"/>
    <w:rsid w:val="09F53EC7"/>
    <w:rsid w:val="0A6A0552"/>
    <w:rsid w:val="0A6D12D3"/>
    <w:rsid w:val="0A9A5E74"/>
    <w:rsid w:val="0B397FDA"/>
    <w:rsid w:val="0B571171"/>
    <w:rsid w:val="0BF568F1"/>
    <w:rsid w:val="0BFE7F4C"/>
    <w:rsid w:val="0C39210C"/>
    <w:rsid w:val="0C5D575B"/>
    <w:rsid w:val="0C6D0E4F"/>
    <w:rsid w:val="0CDE01E3"/>
    <w:rsid w:val="0CE0510D"/>
    <w:rsid w:val="0DBD2F7C"/>
    <w:rsid w:val="0DC07BA3"/>
    <w:rsid w:val="0DD24EE2"/>
    <w:rsid w:val="0DD565AD"/>
    <w:rsid w:val="0E0E4026"/>
    <w:rsid w:val="0E1326AB"/>
    <w:rsid w:val="0E2137A4"/>
    <w:rsid w:val="0EBC1312"/>
    <w:rsid w:val="0ECD4A74"/>
    <w:rsid w:val="0EEB4B2B"/>
    <w:rsid w:val="0F7C3AD7"/>
    <w:rsid w:val="0F895180"/>
    <w:rsid w:val="0FC13A76"/>
    <w:rsid w:val="10C76CC6"/>
    <w:rsid w:val="117068EC"/>
    <w:rsid w:val="1193590A"/>
    <w:rsid w:val="11AF1B39"/>
    <w:rsid w:val="11BE495F"/>
    <w:rsid w:val="11BF157E"/>
    <w:rsid w:val="11DD0A90"/>
    <w:rsid w:val="11F07B6C"/>
    <w:rsid w:val="12710F52"/>
    <w:rsid w:val="128517D8"/>
    <w:rsid w:val="12E47367"/>
    <w:rsid w:val="130D306D"/>
    <w:rsid w:val="13873537"/>
    <w:rsid w:val="139520C4"/>
    <w:rsid w:val="13F0621E"/>
    <w:rsid w:val="150669D4"/>
    <w:rsid w:val="152010AF"/>
    <w:rsid w:val="156A766A"/>
    <w:rsid w:val="1581369B"/>
    <w:rsid w:val="15844914"/>
    <w:rsid w:val="15C75A68"/>
    <w:rsid w:val="15C75CC0"/>
    <w:rsid w:val="160C253A"/>
    <w:rsid w:val="16A92675"/>
    <w:rsid w:val="17270964"/>
    <w:rsid w:val="175072CC"/>
    <w:rsid w:val="18175742"/>
    <w:rsid w:val="183E7280"/>
    <w:rsid w:val="184846F1"/>
    <w:rsid w:val="1891397E"/>
    <w:rsid w:val="19680742"/>
    <w:rsid w:val="19905B34"/>
    <w:rsid w:val="19EA1606"/>
    <w:rsid w:val="1A295A32"/>
    <w:rsid w:val="1A2B58EB"/>
    <w:rsid w:val="1A583871"/>
    <w:rsid w:val="1B47770D"/>
    <w:rsid w:val="1B58094D"/>
    <w:rsid w:val="1B8E0F5F"/>
    <w:rsid w:val="1B8F690F"/>
    <w:rsid w:val="1BA01EF7"/>
    <w:rsid w:val="1BFC49D3"/>
    <w:rsid w:val="1CB87686"/>
    <w:rsid w:val="1D181BAF"/>
    <w:rsid w:val="1D20123D"/>
    <w:rsid w:val="1D347F1B"/>
    <w:rsid w:val="1D4A0172"/>
    <w:rsid w:val="1D51099E"/>
    <w:rsid w:val="1D7625E1"/>
    <w:rsid w:val="1D7E6F35"/>
    <w:rsid w:val="1E03261D"/>
    <w:rsid w:val="1E3A785E"/>
    <w:rsid w:val="1FBF3B04"/>
    <w:rsid w:val="1FDC2CEF"/>
    <w:rsid w:val="1FF22845"/>
    <w:rsid w:val="1FF43D6E"/>
    <w:rsid w:val="200B6EB8"/>
    <w:rsid w:val="207C095D"/>
    <w:rsid w:val="20F75763"/>
    <w:rsid w:val="21141391"/>
    <w:rsid w:val="214F5096"/>
    <w:rsid w:val="2204258C"/>
    <w:rsid w:val="225309EB"/>
    <w:rsid w:val="22897E6A"/>
    <w:rsid w:val="22A05F60"/>
    <w:rsid w:val="22CF6C0C"/>
    <w:rsid w:val="23745E92"/>
    <w:rsid w:val="23A470A8"/>
    <w:rsid w:val="23D84F69"/>
    <w:rsid w:val="24884C9B"/>
    <w:rsid w:val="24CB6DA3"/>
    <w:rsid w:val="25263E94"/>
    <w:rsid w:val="25C47678"/>
    <w:rsid w:val="25DC18B8"/>
    <w:rsid w:val="25E901E4"/>
    <w:rsid w:val="261C2806"/>
    <w:rsid w:val="26952394"/>
    <w:rsid w:val="26AA6502"/>
    <w:rsid w:val="26C77B58"/>
    <w:rsid w:val="271523F4"/>
    <w:rsid w:val="273F687F"/>
    <w:rsid w:val="276F28AA"/>
    <w:rsid w:val="27725E1D"/>
    <w:rsid w:val="27BF5DE8"/>
    <w:rsid w:val="27E67DC6"/>
    <w:rsid w:val="283D6F36"/>
    <w:rsid w:val="2888703C"/>
    <w:rsid w:val="28E30BCC"/>
    <w:rsid w:val="28E72B1C"/>
    <w:rsid w:val="292A5016"/>
    <w:rsid w:val="295164B2"/>
    <w:rsid w:val="295D751C"/>
    <w:rsid w:val="295E52F6"/>
    <w:rsid w:val="29DD4721"/>
    <w:rsid w:val="2ADC0C7B"/>
    <w:rsid w:val="2AE95DBC"/>
    <w:rsid w:val="2B183C58"/>
    <w:rsid w:val="2B915DA3"/>
    <w:rsid w:val="2BAA221C"/>
    <w:rsid w:val="2BB03D0C"/>
    <w:rsid w:val="2BB2651F"/>
    <w:rsid w:val="2C293905"/>
    <w:rsid w:val="2C672178"/>
    <w:rsid w:val="2C7F5B3F"/>
    <w:rsid w:val="2CB95CCB"/>
    <w:rsid w:val="2CBF2EC6"/>
    <w:rsid w:val="2CD45115"/>
    <w:rsid w:val="2D9C69F1"/>
    <w:rsid w:val="2E295516"/>
    <w:rsid w:val="2E5D60B8"/>
    <w:rsid w:val="2F71161C"/>
    <w:rsid w:val="2F8341B4"/>
    <w:rsid w:val="2FC91055"/>
    <w:rsid w:val="31130268"/>
    <w:rsid w:val="31476743"/>
    <w:rsid w:val="3194312D"/>
    <w:rsid w:val="31F564F9"/>
    <w:rsid w:val="3248224A"/>
    <w:rsid w:val="326B7BD8"/>
    <w:rsid w:val="329657FA"/>
    <w:rsid w:val="329A0539"/>
    <w:rsid w:val="32AA72EE"/>
    <w:rsid w:val="32CC6078"/>
    <w:rsid w:val="32FD5AF2"/>
    <w:rsid w:val="331112E0"/>
    <w:rsid w:val="340F5A22"/>
    <w:rsid w:val="344A4C58"/>
    <w:rsid w:val="34C55FEB"/>
    <w:rsid w:val="34D23BA7"/>
    <w:rsid w:val="35081864"/>
    <w:rsid w:val="35221E10"/>
    <w:rsid w:val="3594212D"/>
    <w:rsid w:val="35AF42BC"/>
    <w:rsid w:val="35BB3EF0"/>
    <w:rsid w:val="35BC43EE"/>
    <w:rsid w:val="35D21864"/>
    <w:rsid w:val="36184782"/>
    <w:rsid w:val="361D2439"/>
    <w:rsid w:val="36461D0E"/>
    <w:rsid w:val="36690C86"/>
    <w:rsid w:val="36874385"/>
    <w:rsid w:val="368972FF"/>
    <w:rsid w:val="369670BA"/>
    <w:rsid w:val="36B1337A"/>
    <w:rsid w:val="36EA7F37"/>
    <w:rsid w:val="36EF3636"/>
    <w:rsid w:val="374B63DB"/>
    <w:rsid w:val="378A288C"/>
    <w:rsid w:val="37A94C31"/>
    <w:rsid w:val="37F17F01"/>
    <w:rsid w:val="3832240A"/>
    <w:rsid w:val="385C5CFF"/>
    <w:rsid w:val="389B0011"/>
    <w:rsid w:val="38F00271"/>
    <w:rsid w:val="3979419B"/>
    <w:rsid w:val="39983970"/>
    <w:rsid w:val="39B90E5F"/>
    <w:rsid w:val="39C51A88"/>
    <w:rsid w:val="39F55E38"/>
    <w:rsid w:val="3A366619"/>
    <w:rsid w:val="3A532552"/>
    <w:rsid w:val="3A546CFB"/>
    <w:rsid w:val="3A583AD8"/>
    <w:rsid w:val="3A9E7CD6"/>
    <w:rsid w:val="3AAF7064"/>
    <w:rsid w:val="3B3532F3"/>
    <w:rsid w:val="3BDE79F0"/>
    <w:rsid w:val="3BF007D8"/>
    <w:rsid w:val="3C190BD7"/>
    <w:rsid w:val="3CC6578B"/>
    <w:rsid w:val="3CD52698"/>
    <w:rsid w:val="3DDA7657"/>
    <w:rsid w:val="3E5364E3"/>
    <w:rsid w:val="3E6E530F"/>
    <w:rsid w:val="3E782D86"/>
    <w:rsid w:val="3E7D1666"/>
    <w:rsid w:val="3E9D59BC"/>
    <w:rsid w:val="3ECF2A41"/>
    <w:rsid w:val="3F113FAD"/>
    <w:rsid w:val="3F45685F"/>
    <w:rsid w:val="3F652FF2"/>
    <w:rsid w:val="3F6903D3"/>
    <w:rsid w:val="3F6A1D37"/>
    <w:rsid w:val="3F880E75"/>
    <w:rsid w:val="3FA173DB"/>
    <w:rsid w:val="3FA977D6"/>
    <w:rsid w:val="3FB17206"/>
    <w:rsid w:val="3FB52560"/>
    <w:rsid w:val="401D630D"/>
    <w:rsid w:val="409E3002"/>
    <w:rsid w:val="409F2474"/>
    <w:rsid w:val="41733268"/>
    <w:rsid w:val="41815A03"/>
    <w:rsid w:val="419824D2"/>
    <w:rsid w:val="419B4960"/>
    <w:rsid w:val="421836FA"/>
    <w:rsid w:val="42473790"/>
    <w:rsid w:val="42B72E18"/>
    <w:rsid w:val="43116D5D"/>
    <w:rsid w:val="43226E9A"/>
    <w:rsid w:val="43310DEF"/>
    <w:rsid w:val="43E1370A"/>
    <w:rsid w:val="447828CB"/>
    <w:rsid w:val="44957419"/>
    <w:rsid w:val="44CE6944"/>
    <w:rsid w:val="45084E0D"/>
    <w:rsid w:val="4510340A"/>
    <w:rsid w:val="45436606"/>
    <w:rsid w:val="454C526C"/>
    <w:rsid w:val="457E3CC9"/>
    <w:rsid w:val="45BD2D92"/>
    <w:rsid w:val="45FE3658"/>
    <w:rsid w:val="462C7D91"/>
    <w:rsid w:val="46387880"/>
    <w:rsid w:val="463F1C8F"/>
    <w:rsid w:val="469470DF"/>
    <w:rsid w:val="46D464E0"/>
    <w:rsid w:val="47115130"/>
    <w:rsid w:val="471A718B"/>
    <w:rsid w:val="47674205"/>
    <w:rsid w:val="47CD4DF0"/>
    <w:rsid w:val="481174DD"/>
    <w:rsid w:val="48971A0A"/>
    <w:rsid w:val="49536439"/>
    <w:rsid w:val="49680B69"/>
    <w:rsid w:val="499A7F67"/>
    <w:rsid w:val="499D7538"/>
    <w:rsid w:val="49EA0FF1"/>
    <w:rsid w:val="49F66AF1"/>
    <w:rsid w:val="4A224389"/>
    <w:rsid w:val="4A2B6181"/>
    <w:rsid w:val="4A4334F0"/>
    <w:rsid w:val="4A6B7A4E"/>
    <w:rsid w:val="4AE26A39"/>
    <w:rsid w:val="4AEA6C49"/>
    <w:rsid w:val="4B522FFF"/>
    <w:rsid w:val="4B5F1004"/>
    <w:rsid w:val="4BA806D8"/>
    <w:rsid w:val="4BE6799C"/>
    <w:rsid w:val="4BEF747E"/>
    <w:rsid w:val="4C25311D"/>
    <w:rsid w:val="4C37478E"/>
    <w:rsid w:val="4C4E578C"/>
    <w:rsid w:val="4C656B8A"/>
    <w:rsid w:val="4CD60CFE"/>
    <w:rsid w:val="4CF75E6A"/>
    <w:rsid w:val="4D15783D"/>
    <w:rsid w:val="4D745CA4"/>
    <w:rsid w:val="4D9C3C1C"/>
    <w:rsid w:val="4E1A1F86"/>
    <w:rsid w:val="4E376FEA"/>
    <w:rsid w:val="4E404BF6"/>
    <w:rsid w:val="4E537ACA"/>
    <w:rsid w:val="4E57304D"/>
    <w:rsid w:val="4E9273F7"/>
    <w:rsid w:val="4EC074DC"/>
    <w:rsid w:val="4F0F4307"/>
    <w:rsid w:val="4F3508CD"/>
    <w:rsid w:val="4FC501D3"/>
    <w:rsid w:val="503109B0"/>
    <w:rsid w:val="506A3EB6"/>
    <w:rsid w:val="506C483B"/>
    <w:rsid w:val="50CA1F6E"/>
    <w:rsid w:val="510D7F1F"/>
    <w:rsid w:val="51103D48"/>
    <w:rsid w:val="51216689"/>
    <w:rsid w:val="513B0B9F"/>
    <w:rsid w:val="51610189"/>
    <w:rsid w:val="51D57638"/>
    <w:rsid w:val="51D71733"/>
    <w:rsid w:val="52163E48"/>
    <w:rsid w:val="52315D80"/>
    <w:rsid w:val="526747A8"/>
    <w:rsid w:val="5271040D"/>
    <w:rsid w:val="53375584"/>
    <w:rsid w:val="536A5EBD"/>
    <w:rsid w:val="53FA051D"/>
    <w:rsid w:val="546F1767"/>
    <w:rsid w:val="547419BE"/>
    <w:rsid w:val="54A719C3"/>
    <w:rsid w:val="550D2A39"/>
    <w:rsid w:val="55342910"/>
    <w:rsid w:val="55366705"/>
    <w:rsid w:val="558C45D2"/>
    <w:rsid w:val="55D06237"/>
    <w:rsid w:val="55E0145F"/>
    <w:rsid w:val="55E75361"/>
    <w:rsid w:val="561C144A"/>
    <w:rsid w:val="56755922"/>
    <w:rsid w:val="56C5210A"/>
    <w:rsid w:val="570F2FDE"/>
    <w:rsid w:val="57CC2099"/>
    <w:rsid w:val="582F6F84"/>
    <w:rsid w:val="5883181D"/>
    <w:rsid w:val="58901B50"/>
    <w:rsid w:val="589249BA"/>
    <w:rsid w:val="58D81F6A"/>
    <w:rsid w:val="58F639C2"/>
    <w:rsid w:val="58F91F1B"/>
    <w:rsid w:val="5944689B"/>
    <w:rsid w:val="594D7C19"/>
    <w:rsid w:val="597C5875"/>
    <w:rsid w:val="59956C1A"/>
    <w:rsid w:val="59BC3241"/>
    <w:rsid w:val="59D42493"/>
    <w:rsid w:val="59DF0390"/>
    <w:rsid w:val="59F76522"/>
    <w:rsid w:val="5A3F282F"/>
    <w:rsid w:val="5A671700"/>
    <w:rsid w:val="5A9B483D"/>
    <w:rsid w:val="5ACE0218"/>
    <w:rsid w:val="5AF61B49"/>
    <w:rsid w:val="5BA913FC"/>
    <w:rsid w:val="5BEA2D95"/>
    <w:rsid w:val="5C27098D"/>
    <w:rsid w:val="5C4F1973"/>
    <w:rsid w:val="5C501380"/>
    <w:rsid w:val="5C854FDC"/>
    <w:rsid w:val="5CB54C7C"/>
    <w:rsid w:val="5CB80534"/>
    <w:rsid w:val="5D36115F"/>
    <w:rsid w:val="5D4D535E"/>
    <w:rsid w:val="5D7B6436"/>
    <w:rsid w:val="5D92561D"/>
    <w:rsid w:val="5DE757F8"/>
    <w:rsid w:val="5E6C67F7"/>
    <w:rsid w:val="5E822F43"/>
    <w:rsid w:val="5EF23C9C"/>
    <w:rsid w:val="5EFD54A6"/>
    <w:rsid w:val="5F456B51"/>
    <w:rsid w:val="5FBA6C7D"/>
    <w:rsid w:val="6001421E"/>
    <w:rsid w:val="6007674C"/>
    <w:rsid w:val="600B2CAE"/>
    <w:rsid w:val="602F4E4E"/>
    <w:rsid w:val="604903C9"/>
    <w:rsid w:val="60501025"/>
    <w:rsid w:val="60571F5B"/>
    <w:rsid w:val="60A22F1C"/>
    <w:rsid w:val="61131B89"/>
    <w:rsid w:val="614439C5"/>
    <w:rsid w:val="61877715"/>
    <w:rsid w:val="625C24E6"/>
    <w:rsid w:val="6304360C"/>
    <w:rsid w:val="632D3513"/>
    <w:rsid w:val="636B6556"/>
    <w:rsid w:val="639677D8"/>
    <w:rsid w:val="63BD10F1"/>
    <w:rsid w:val="63DB627B"/>
    <w:rsid w:val="644E67D2"/>
    <w:rsid w:val="65107258"/>
    <w:rsid w:val="66413CAC"/>
    <w:rsid w:val="675A3771"/>
    <w:rsid w:val="676A399F"/>
    <w:rsid w:val="67746CAA"/>
    <w:rsid w:val="6795759A"/>
    <w:rsid w:val="67E06173"/>
    <w:rsid w:val="681A2A94"/>
    <w:rsid w:val="681B0E89"/>
    <w:rsid w:val="682A1EA8"/>
    <w:rsid w:val="687136DB"/>
    <w:rsid w:val="68C8067B"/>
    <w:rsid w:val="690F086D"/>
    <w:rsid w:val="6923468F"/>
    <w:rsid w:val="69567324"/>
    <w:rsid w:val="69970073"/>
    <w:rsid w:val="69B33D64"/>
    <w:rsid w:val="69E35E2E"/>
    <w:rsid w:val="6A3D6D70"/>
    <w:rsid w:val="6A764632"/>
    <w:rsid w:val="6A8F5AB3"/>
    <w:rsid w:val="6B51027F"/>
    <w:rsid w:val="6B975284"/>
    <w:rsid w:val="6BAD067B"/>
    <w:rsid w:val="6BF70BCC"/>
    <w:rsid w:val="6C5A5A6D"/>
    <w:rsid w:val="6CB540F2"/>
    <w:rsid w:val="6D195B18"/>
    <w:rsid w:val="6D1A7968"/>
    <w:rsid w:val="6DA0701F"/>
    <w:rsid w:val="6E54677B"/>
    <w:rsid w:val="6E6004F2"/>
    <w:rsid w:val="6E632DE0"/>
    <w:rsid w:val="6E6711A3"/>
    <w:rsid w:val="6E9F7006"/>
    <w:rsid w:val="6EA232AD"/>
    <w:rsid w:val="6EE5207C"/>
    <w:rsid w:val="6FAF1442"/>
    <w:rsid w:val="6FEB2C4F"/>
    <w:rsid w:val="702B3A5D"/>
    <w:rsid w:val="70FB6942"/>
    <w:rsid w:val="711D6692"/>
    <w:rsid w:val="71411843"/>
    <w:rsid w:val="71472155"/>
    <w:rsid w:val="718843E3"/>
    <w:rsid w:val="71F52FD3"/>
    <w:rsid w:val="72BE3DBB"/>
    <w:rsid w:val="730A7984"/>
    <w:rsid w:val="733C6C07"/>
    <w:rsid w:val="7376125A"/>
    <w:rsid w:val="739666E4"/>
    <w:rsid w:val="74065F4B"/>
    <w:rsid w:val="743D06D5"/>
    <w:rsid w:val="7460690A"/>
    <w:rsid w:val="746B1046"/>
    <w:rsid w:val="747F6300"/>
    <w:rsid w:val="75264FB8"/>
    <w:rsid w:val="7529196A"/>
    <w:rsid w:val="753B0584"/>
    <w:rsid w:val="75513159"/>
    <w:rsid w:val="75EC159B"/>
    <w:rsid w:val="766C27D1"/>
    <w:rsid w:val="77572114"/>
    <w:rsid w:val="77595F33"/>
    <w:rsid w:val="776444D5"/>
    <w:rsid w:val="784903B4"/>
    <w:rsid w:val="789B1DCD"/>
    <w:rsid w:val="78AD2CA3"/>
    <w:rsid w:val="78C47558"/>
    <w:rsid w:val="78E1237D"/>
    <w:rsid w:val="78EB596B"/>
    <w:rsid w:val="79507382"/>
    <w:rsid w:val="795A5205"/>
    <w:rsid w:val="795F2FA9"/>
    <w:rsid w:val="79C936E0"/>
    <w:rsid w:val="79F6091D"/>
    <w:rsid w:val="7A0963C2"/>
    <w:rsid w:val="7A2B1906"/>
    <w:rsid w:val="7A602F8D"/>
    <w:rsid w:val="7A7B1BBB"/>
    <w:rsid w:val="7A7F2C28"/>
    <w:rsid w:val="7AA83914"/>
    <w:rsid w:val="7ABB2DDE"/>
    <w:rsid w:val="7B09220C"/>
    <w:rsid w:val="7B1A5A17"/>
    <w:rsid w:val="7BBF4510"/>
    <w:rsid w:val="7C797189"/>
    <w:rsid w:val="7C95612F"/>
    <w:rsid w:val="7CBD5A0B"/>
    <w:rsid w:val="7CD35AB8"/>
    <w:rsid w:val="7D396B96"/>
    <w:rsid w:val="7DC46F29"/>
    <w:rsid w:val="7DDA6779"/>
    <w:rsid w:val="7DE91E93"/>
    <w:rsid w:val="7E320E13"/>
    <w:rsid w:val="7E943B7D"/>
    <w:rsid w:val="7F18172A"/>
    <w:rsid w:val="7FB6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Plain Text"/>
    <w:basedOn w:val="1"/>
    <w:semiHidden/>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99"/>
    <w:pPr>
      <w:ind w:firstLine="420" w:firstLineChars="200"/>
    </w:pPr>
  </w:style>
  <w:style w:type="character" w:customStyle="1" w:styleId="11">
    <w:name w:val="页眉 字符"/>
    <w:basedOn w:val="8"/>
    <w:link w:val="5"/>
    <w:qFormat/>
    <w:uiPriority w:val="0"/>
    <w:rPr>
      <w:kern w:val="2"/>
      <w:sz w:val="18"/>
      <w:szCs w:val="18"/>
    </w:rPr>
  </w:style>
  <w:style w:type="character" w:styleId="12">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212</Words>
  <Characters>1214</Characters>
  <Lines>10</Lines>
  <Paragraphs>2</Paragraphs>
  <TotalTime>1</TotalTime>
  <ScaleCrop>false</ScaleCrop>
  <LinksUpToDate>false</LinksUpToDate>
  <CharactersWithSpaces>1424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dcterms:modified xsi:type="dcterms:W3CDTF">2021-03-24T23:39:51Z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131F3AB5B3694151B7AC1D763A91D7EC</vt:lpwstr>
  </property>
</Properties>
</file>